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76CC5"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IN THE SUPREME COURT OF THE STATE OF VERMONT</w:t>
      </w:r>
    </w:p>
    <w:p w14:paraId="0EF4963D"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DOCKET NO. 2018-339</w:t>
      </w:r>
    </w:p>
    <w:p w14:paraId="58345F60" w14:textId="77777777" w:rsidR="000E5CB8" w:rsidRPr="008F07F2" w:rsidRDefault="000E5CB8" w:rsidP="003D51EB">
      <w:pPr>
        <w:spacing w:line="240" w:lineRule="auto"/>
        <w:ind w:left="720" w:firstLine="0"/>
        <w:rPr>
          <w:rFonts w:ascii="Times New Roman" w:hAnsi="Times New Roman" w:cs="Times New Roman"/>
        </w:rPr>
      </w:pPr>
    </w:p>
    <w:p w14:paraId="6C3BCF12" w14:textId="77777777" w:rsidR="000E5CB8" w:rsidRPr="008F07F2" w:rsidRDefault="000E5CB8" w:rsidP="003D51EB">
      <w:pPr>
        <w:spacing w:line="240" w:lineRule="auto"/>
        <w:ind w:left="720" w:firstLine="0"/>
        <w:rPr>
          <w:rFonts w:ascii="Times New Roman" w:hAnsi="Times New Roman" w:cs="Times New Roman"/>
        </w:rPr>
      </w:pPr>
    </w:p>
    <w:p w14:paraId="4D83E6A4" w14:textId="77777777" w:rsidR="000E5CB8" w:rsidRPr="008F07F2" w:rsidRDefault="000E5CB8" w:rsidP="003D51EB">
      <w:pPr>
        <w:spacing w:line="240" w:lineRule="auto"/>
        <w:ind w:left="720" w:firstLine="0"/>
        <w:rPr>
          <w:rFonts w:ascii="Times New Roman" w:hAnsi="Times New Roman" w:cs="Times New Roman"/>
        </w:rPr>
      </w:pPr>
    </w:p>
    <w:p w14:paraId="5833FA38" w14:textId="77777777" w:rsidR="000E5CB8" w:rsidRPr="008F07F2" w:rsidRDefault="000E5CB8" w:rsidP="003D51EB">
      <w:pPr>
        <w:spacing w:line="240" w:lineRule="auto"/>
        <w:ind w:left="720" w:firstLine="0"/>
        <w:rPr>
          <w:rFonts w:ascii="Times New Roman" w:hAnsi="Times New Roman" w:cs="Times New Roman"/>
        </w:rPr>
      </w:pPr>
    </w:p>
    <w:p w14:paraId="5D130B9C" w14:textId="77777777" w:rsidR="000E5CB8" w:rsidRPr="008F07F2" w:rsidRDefault="000E5CB8" w:rsidP="003D51EB">
      <w:pPr>
        <w:spacing w:line="240" w:lineRule="auto"/>
        <w:ind w:left="720" w:firstLine="0"/>
        <w:rPr>
          <w:rFonts w:ascii="Times New Roman" w:hAnsi="Times New Roman" w:cs="Times New Roman"/>
        </w:rPr>
      </w:pPr>
    </w:p>
    <w:p w14:paraId="3EB154A3"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In re: Morrisville Hydroelectric Project Water Quality</w:t>
      </w:r>
    </w:p>
    <w:p w14:paraId="3408B972" w14:textId="77777777" w:rsidR="000E5CB8" w:rsidRPr="008F07F2" w:rsidRDefault="000E5CB8" w:rsidP="003D51EB">
      <w:pPr>
        <w:spacing w:line="240" w:lineRule="auto"/>
        <w:ind w:left="720" w:firstLine="0"/>
        <w:rPr>
          <w:rFonts w:ascii="Times New Roman" w:hAnsi="Times New Roman" w:cs="Times New Roman"/>
        </w:rPr>
      </w:pPr>
    </w:p>
    <w:p w14:paraId="4DBF2826" w14:textId="77777777" w:rsidR="000E5CB8" w:rsidRPr="008F07F2" w:rsidRDefault="000E5CB8" w:rsidP="003D51EB">
      <w:pPr>
        <w:spacing w:line="240" w:lineRule="auto"/>
        <w:ind w:left="720" w:firstLine="0"/>
        <w:rPr>
          <w:rFonts w:ascii="Times New Roman" w:hAnsi="Times New Roman" w:cs="Times New Roman"/>
        </w:rPr>
      </w:pPr>
    </w:p>
    <w:p w14:paraId="39741C90" w14:textId="77777777" w:rsidR="000E5CB8" w:rsidRPr="008F07F2" w:rsidRDefault="000E5CB8" w:rsidP="003D51EB">
      <w:pPr>
        <w:spacing w:line="240" w:lineRule="auto"/>
        <w:ind w:left="720" w:firstLine="0"/>
        <w:rPr>
          <w:rFonts w:ascii="Times New Roman" w:hAnsi="Times New Roman" w:cs="Times New Roman"/>
        </w:rPr>
      </w:pPr>
    </w:p>
    <w:p w14:paraId="36788339" w14:textId="77777777" w:rsidR="000E5CB8" w:rsidRPr="008F07F2" w:rsidRDefault="000E5CB8" w:rsidP="003D51EB">
      <w:pPr>
        <w:spacing w:line="240" w:lineRule="auto"/>
        <w:ind w:left="720" w:firstLine="0"/>
        <w:rPr>
          <w:rFonts w:ascii="Times New Roman" w:hAnsi="Times New Roman" w:cs="Times New Roman"/>
        </w:rPr>
      </w:pPr>
    </w:p>
    <w:p w14:paraId="484F036A" w14:textId="77777777" w:rsidR="000E5CB8" w:rsidRPr="008F07F2" w:rsidRDefault="000E5CB8" w:rsidP="003D51EB">
      <w:pPr>
        <w:spacing w:line="240" w:lineRule="auto"/>
        <w:ind w:left="720" w:firstLine="0"/>
        <w:rPr>
          <w:rFonts w:ascii="Times New Roman" w:hAnsi="Times New Roman" w:cs="Times New Roman"/>
        </w:rPr>
      </w:pPr>
    </w:p>
    <w:p w14:paraId="1A42CDF4" w14:textId="77777777" w:rsidR="000E5CB8" w:rsidRPr="008F07F2" w:rsidRDefault="000E5CB8" w:rsidP="003D51EB">
      <w:pPr>
        <w:spacing w:line="240" w:lineRule="auto"/>
        <w:ind w:left="720" w:firstLine="0"/>
        <w:rPr>
          <w:rFonts w:ascii="Times New Roman" w:hAnsi="Times New Roman" w:cs="Times New Roman"/>
        </w:rPr>
      </w:pPr>
    </w:p>
    <w:p w14:paraId="0FE3D852"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APPEAL FROM SUPERIOR COURT, ENVIRONMENTAL DIVISION</w:t>
      </w:r>
    </w:p>
    <w:p w14:paraId="32EE6AA0"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 xml:space="preserve">Docket No. 103-9-16 </w:t>
      </w:r>
      <w:proofErr w:type="spellStart"/>
      <w:r w:rsidRPr="008F07F2">
        <w:rPr>
          <w:rFonts w:ascii="Times New Roman" w:hAnsi="Times New Roman" w:cs="Times New Roman"/>
        </w:rPr>
        <w:t>Vtec</w:t>
      </w:r>
      <w:proofErr w:type="spellEnd"/>
    </w:p>
    <w:p w14:paraId="7F7D55BC" w14:textId="77777777" w:rsidR="000E5CB8" w:rsidRPr="008F07F2" w:rsidRDefault="000E5CB8" w:rsidP="003D51EB">
      <w:pPr>
        <w:spacing w:line="240" w:lineRule="auto"/>
        <w:ind w:left="720" w:firstLine="0"/>
        <w:rPr>
          <w:rFonts w:ascii="Times New Roman" w:hAnsi="Times New Roman" w:cs="Times New Roman"/>
        </w:rPr>
      </w:pPr>
    </w:p>
    <w:p w14:paraId="064F16CB" w14:textId="77777777" w:rsidR="000E5CB8" w:rsidRPr="008F07F2" w:rsidRDefault="000E5CB8" w:rsidP="003D51EB">
      <w:pPr>
        <w:spacing w:line="240" w:lineRule="auto"/>
        <w:ind w:left="720" w:firstLine="0"/>
        <w:rPr>
          <w:rFonts w:ascii="Times New Roman" w:hAnsi="Times New Roman" w:cs="Times New Roman"/>
        </w:rPr>
      </w:pPr>
    </w:p>
    <w:p w14:paraId="232A2936" w14:textId="77777777" w:rsidR="000E5CB8" w:rsidRPr="008F07F2" w:rsidRDefault="00C05BED" w:rsidP="003D51EB">
      <w:pPr>
        <w:spacing w:line="240" w:lineRule="auto"/>
        <w:ind w:left="720" w:firstLine="0"/>
        <w:rPr>
          <w:rFonts w:ascii="Times New Roman" w:hAnsi="Times New Roman" w:cs="Times New Roman"/>
        </w:rPr>
      </w:pPr>
      <w:r>
        <w:rPr>
          <w:rFonts w:ascii="Times New Roman" w:hAnsi="Times New Roman" w:cs="Times New Roman"/>
        </w:rPr>
        <w:pict w14:anchorId="0F578296">
          <v:rect id="_x0000_i1025" style="width:0;height:1.5pt" o:hralign="center" o:hrstd="t" o:hr="t" fillcolor="#a0a0a0" stroked="f"/>
        </w:pict>
      </w:r>
    </w:p>
    <w:p w14:paraId="237BD0B0" w14:textId="77777777" w:rsidR="000E5CB8" w:rsidRPr="008F07F2" w:rsidRDefault="000E5CB8" w:rsidP="003D51EB">
      <w:pPr>
        <w:spacing w:line="240" w:lineRule="auto"/>
        <w:ind w:left="720" w:firstLine="0"/>
        <w:rPr>
          <w:rFonts w:ascii="Times New Roman" w:hAnsi="Times New Roman" w:cs="Times New Roman"/>
        </w:rPr>
      </w:pPr>
    </w:p>
    <w:p w14:paraId="6001C222"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Brief for Appellees</w:t>
      </w:r>
    </w:p>
    <w:p w14:paraId="3E817628"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American Whitewater and Vermont Paddlers Club</w:t>
      </w:r>
    </w:p>
    <w:p w14:paraId="079EB447" w14:textId="77777777" w:rsidR="000E5CB8" w:rsidRPr="008F07F2" w:rsidRDefault="000E5CB8" w:rsidP="003D51EB">
      <w:pPr>
        <w:spacing w:line="240" w:lineRule="auto"/>
        <w:ind w:left="720" w:firstLine="0"/>
        <w:rPr>
          <w:rFonts w:ascii="Times New Roman" w:hAnsi="Times New Roman" w:cs="Times New Roman"/>
        </w:rPr>
      </w:pPr>
    </w:p>
    <w:p w14:paraId="6E76AFCD" w14:textId="77777777" w:rsidR="000E5CB8" w:rsidRPr="008F07F2" w:rsidRDefault="00C05BED" w:rsidP="003D51EB">
      <w:pPr>
        <w:spacing w:line="240" w:lineRule="auto"/>
        <w:ind w:left="720" w:firstLine="0"/>
        <w:rPr>
          <w:rFonts w:ascii="Times New Roman" w:hAnsi="Times New Roman" w:cs="Times New Roman"/>
        </w:rPr>
      </w:pPr>
      <w:r>
        <w:rPr>
          <w:rFonts w:ascii="Times New Roman" w:hAnsi="Times New Roman" w:cs="Times New Roman"/>
        </w:rPr>
        <w:pict w14:anchorId="2B396A24">
          <v:rect id="_x0000_i1026" style="width:0;height:1.5pt" o:hralign="center" o:hrstd="t" o:hr="t" fillcolor="#a0a0a0" stroked="f"/>
        </w:pict>
      </w:r>
    </w:p>
    <w:p w14:paraId="5A434B86" w14:textId="77777777" w:rsidR="000E5CB8" w:rsidRPr="008F07F2" w:rsidRDefault="000E5CB8" w:rsidP="003D51EB">
      <w:pPr>
        <w:spacing w:line="240" w:lineRule="auto"/>
        <w:ind w:left="720" w:firstLine="0"/>
        <w:rPr>
          <w:rFonts w:ascii="Times New Roman" w:hAnsi="Times New Roman" w:cs="Times New Roman"/>
        </w:rPr>
      </w:pPr>
    </w:p>
    <w:p w14:paraId="62B53DDA" w14:textId="77777777" w:rsidR="000E5CB8" w:rsidRPr="008F07F2" w:rsidRDefault="000E5CB8" w:rsidP="003D51EB">
      <w:pPr>
        <w:spacing w:line="240" w:lineRule="auto"/>
        <w:ind w:left="720" w:firstLine="0"/>
        <w:rPr>
          <w:rFonts w:ascii="Times New Roman" w:hAnsi="Times New Roman" w:cs="Times New Roman"/>
        </w:rPr>
      </w:pPr>
    </w:p>
    <w:p w14:paraId="5E12BCCB" w14:textId="77777777" w:rsidR="000E5CB8" w:rsidRPr="008F07F2" w:rsidRDefault="000E5CB8" w:rsidP="003D51EB">
      <w:pPr>
        <w:spacing w:line="240" w:lineRule="auto"/>
        <w:ind w:left="720" w:firstLine="0"/>
        <w:rPr>
          <w:rFonts w:ascii="Times New Roman" w:hAnsi="Times New Roman" w:cs="Times New Roman"/>
        </w:rPr>
      </w:pPr>
    </w:p>
    <w:p w14:paraId="0FE1A778"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t>AMERICAN WHITEWATER</w:t>
      </w:r>
    </w:p>
    <w:p w14:paraId="5EE25366"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Pr="008F07F2">
        <w:rPr>
          <w:rFonts w:ascii="Times New Roman" w:hAnsi="Times New Roman" w:cs="Times New Roman"/>
        </w:rPr>
        <w:tab/>
        <w:t>VERMONT PADDLERS CLUB</w:t>
      </w:r>
    </w:p>
    <w:p w14:paraId="2BA661B9"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p>
    <w:p w14:paraId="28FFBEBD" w14:textId="77777777" w:rsidR="000E5CB8" w:rsidRPr="008F07F2" w:rsidRDefault="000E5CB8" w:rsidP="003D51EB">
      <w:pPr>
        <w:spacing w:line="240" w:lineRule="auto"/>
        <w:ind w:left="720" w:firstLine="0"/>
        <w:rPr>
          <w:rFonts w:ascii="Times New Roman" w:hAnsi="Times New Roman" w:cs="Times New Roman"/>
        </w:rPr>
      </w:pPr>
    </w:p>
    <w:p w14:paraId="76452BE7" w14:textId="5E0E1637" w:rsidR="000E5CB8" w:rsidRDefault="000E5CB8" w:rsidP="00CC4BAD">
      <w:pPr>
        <w:spacing w:line="240" w:lineRule="auto"/>
        <w:ind w:left="3600"/>
        <w:rPr>
          <w:rFonts w:ascii="Times New Roman" w:hAnsi="Times New Roman" w:cs="Times New Roman"/>
        </w:rPr>
      </w:pPr>
      <w:r w:rsidRPr="008F07F2">
        <w:rPr>
          <w:rFonts w:ascii="Times New Roman" w:hAnsi="Times New Roman" w:cs="Times New Roman"/>
        </w:rPr>
        <w:t>By:</w:t>
      </w:r>
      <w:r w:rsidRPr="008F07F2">
        <w:rPr>
          <w:rFonts w:ascii="Times New Roman" w:hAnsi="Times New Roman" w:cs="Times New Roman"/>
        </w:rPr>
        <w:tab/>
        <w:t>Daniel Richardson, Esq.</w:t>
      </w:r>
      <w:r w:rsidR="00CC4BAD">
        <w:rPr>
          <w:rFonts w:ascii="Times New Roman" w:hAnsi="Times New Roman" w:cs="Times New Roman"/>
        </w:rPr>
        <w:t xml:space="preserve"> ERN 4025</w:t>
      </w:r>
    </w:p>
    <w:p w14:paraId="56B2358D" w14:textId="024A87DD" w:rsidR="000E5CB8" w:rsidRPr="008F07F2" w:rsidRDefault="000E5CB8" w:rsidP="00227491">
      <w:pPr>
        <w:spacing w:line="240" w:lineRule="auto"/>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Pr="008F07F2">
        <w:rPr>
          <w:rFonts w:ascii="Times New Roman" w:hAnsi="Times New Roman" w:cs="Times New Roman"/>
        </w:rPr>
        <w:tab/>
        <w:t>Tarrant, Gillies &amp; Richardson</w:t>
      </w:r>
    </w:p>
    <w:p w14:paraId="0DBD4D26"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008E6286" w:rsidRPr="008F07F2">
        <w:rPr>
          <w:rFonts w:ascii="Times New Roman" w:hAnsi="Times New Roman" w:cs="Times New Roman"/>
        </w:rPr>
        <w:t xml:space="preserve">                     </w:t>
      </w:r>
      <w:r w:rsidR="008E6286" w:rsidRPr="008F07F2">
        <w:rPr>
          <w:rFonts w:ascii="Times New Roman" w:hAnsi="Times New Roman" w:cs="Times New Roman"/>
        </w:rPr>
        <w:tab/>
      </w:r>
      <w:r w:rsidRPr="008F07F2">
        <w:rPr>
          <w:rFonts w:ascii="Times New Roman" w:hAnsi="Times New Roman" w:cs="Times New Roman"/>
        </w:rPr>
        <w:t>P.O. Box 1440</w:t>
      </w:r>
    </w:p>
    <w:p w14:paraId="32456600" w14:textId="77777777" w:rsidR="000E5CB8" w:rsidRPr="008F07F2" w:rsidRDefault="000E5CB8" w:rsidP="003D51EB">
      <w:pPr>
        <w:spacing w:line="240" w:lineRule="auto"/>
        <w:ind w:left="720" w:firstLine="0"/>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r>
      <w:r w:rsidR="008E6286" w:rsidRPr="008F07F2">
        <w:rPr>
          <w:rFonts w:ascii="Times New Roman" w:hAnsi="Times New Roman" w:cs="Times New Roman"/>
        </w:rPr>
        <w:tab/>
      </w:r>
      <w:r w:rsidR="008E6286" w:rsidRPr="008F07F2">
        <w:rPr>
          <w:rFonts w:ascii="Times New Roman" w:hAnsi="Times New Roman" w:cs="Times New Roman"/>
        </w:rPr>
        <w:tab/>
      </w:r>
      <w:r w:rsidR="008E6286" w:rsidRPr="008F07F2">
        <w:rPr>
          <w:rFonts w:ascii="Times New Roman" w:hAnsi="Times New Roman" w:cs="Times New Roman"/>
        </w:rPr>
        <w:tab/>
      </w:r>
      <w:r w:rsidRPr="008F07F2">
        <w:rPr>
          <w:rFonts w:ascii="Times New Roman" w:hAnsi="Times New Roman" w:cs="Times New Roman"/>
        </w:rPr>
        <w:t>Montpelier, 04601-1440</w:t>
      </w:r>
    </w:p>
    <w:p w14:paraId="74AE202E" w14:textId="173E04DA" w:rsidR="00CC4BAD" w:rsidRDefault="00CC4BAD" w:rsidP="00227491">
      <w:pPr>
        <w:spacing w:line="240" w:lineRule="auto"/>
        <w:ind w:left="72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8" w:history="1">
        <w:r w:rsidRPr="00FC2F94">
          <w:rPr>
            <w:rStyle w:val="Hyperlink"/>
            <w:rFonts w:ascii="Times New Roman" w:hAnsi="Times New Roman" w:cs="Times New Roman"/>
          </w:rPr>
          <w:t>drichardson@tgrvt.com</w:t>
        </w:r>
      </w:hyperlink>
    </w:p>
    <w:p w14:paraId="78EBA960" w14:textId="77777777" w:rsidR="00CC4BAD" w:rsidRDefault="00CC4BAD" w:rsidP="003D51EB">
      <w:pPr>
        <w:ind w:left="720" w:firstLine="0"/>
        <w:rPr>
          <w:rFonts w:ascii="Times New Roman" w:hAnsi="Times New Roman" w:cs="Times New Roman"/>
        </w:rPr>
      </w:pPr>
    </w:p>
    <w:p w14:paraId="22F35625" w14:textId="77777777" w:rsidR="000E5CB8" w:rsidRPr="008F07F2" w:rsidRDefault="000E5CB8" w:rsidP="003D51EB">
      <w:pPr>
        <w:ind w:left="720" w:firstLine="0"/>
        <w:rPr>
          <w:rFonts w:ascii="Times New Roman" w:hAnsi="Times New Roman" w:cs="Times New Roman"/>
        </w:rPr>
      </w:pPr>
    </w:p>
    <w:p w14:paraId="6C3C97E4" w14:textId="77777777" w:rsidR="000E5CB8" w:rsidRPr="008F07F2" w:rsidRDefault="000E5CB8" w:rsidP="003D51EB">
      <w:pPr>
        <w:ind w:left="720" w:firstLine="0"/>
        <w:rPr>
          <w:rFonts w:ascii="Times New Roman" w:hAnsi="Times New Roman" w:cs="Times New Roman"/>
        </w:rPr>
      </w:pPr>
      <w:r w:rsidRPr="008F07F2">
        <w:rPr>
          <w:rFonts w:ascii="Times New Roman" w:hAnsi="Times New Roman" w:cs="Times New Roman"/>
        </w:rPr>
        <w:br w:type="page"/>
      </w:r>
    </w:p>
    <w:p w14:paraId="6B9BE67C" w14:textId="77777777" w:rsidR="00266CF2" w:rsidRPr="008F07F2" w:rsidRDefault="00266CF2" w:rsidP="003D51EB">
      <w:pPr>
        <w:ind w:firstLine="0"/>
        <w:jc w:val="center"/>
        <w:rPr>
          <w:rFonts w:ascii="Times New Roman" w:hAnsi="Times New Roman" w:cs="Times New Roman"/>
        </w:rPr>
        <w:sectPr w:rsidR="00266CF2" w:rsidRPr="008F07F2" w:rsidSect="00266C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26"/>
        </w:sectPr>
      </w:pPr>
    </w:p>
    <w:p w14:paraId="56E6092C" w14:textId="77777777" w:rsidR="000E5CB8" w:rsidRPr="008F07F2" w:rsidRDefault="000E5CB8" w:rsidP="003D51EB">
      <w:pPr>
        <w:ind w:firstLine="0"/>
        <w:jc w:val="center"/>
        <w:rPr>
          <w:rFonts w:ascii="Times New Roman" w:hAnsi="Times New Roman" w:cs="Times New Roman"/>
        </w:rPr>
      </w:pPr>
      <w:r w:rsidRPr="008F07F2">
        <w:rPr>
          <w:rFonts w:ascii="Times New Roman" w:hAnsi="Times New Roman" w:cs="Times New Roman"/>
        </w:rPr>
        <w:lastRenderedPageBreak/>
        <w:t>TABLE OF CONTENTS</w:t>
      </w:r>
    </w:p>
    <w:sdt>
      <w:sdtPr>
        <w:rPr>
          <w:rFonts w:ascii="Times New Roman" w:eastAsia="Arial" w:hAnsi="Times New Roman" w:cs="Times New Roman"/>
          <w:color w:val="auto"/>
          <w:sz w:val="24"/>
          <w:szCs w:val="24"/>
          <w:lang w:val="en"/>
        </w:rPr>
        <w:id w:val="939263212"/>
        <w:docPartObj>
          <w:docPartGallery w:val="Table of Contents"/>
          <w:docPartUnique/>
        </w:docPartObj>
      </w:sdtPr>
      <w:sdtEndPr>
        <w:rPr>
          <w:b/>
          <w:bCs/>
          <w:noProof/>
        </w:rPr>
      </w:sdtEndPr>
      <w:sdtContent>
        <w:p w14:paraId="51FACD00" w14:textId="77777777" w:rsidR="003D51EB" w:rsidRPr="00971EDA" w:rsidRDefault="003D51EB" w:rsidP="00971EDA">
          <w:pPr>
            <w:pStyle w:val="TOCHeading"/>
            <w:spacing w:before="0" w:line="480" w:lineRule="auto"/>
            <w:rPr>
              <w:rFonts w:ascii="Times New Roman" w:hAnsi="Times New Roman" w:cs="Times New Roman"/>
              <w:sz w:val="24"/>
              <w:szCs w:val="24"/>
            </w:rPr>
          </w:pPr>
        </w:p>
        <w:p w14:paraId="394EFE06" w14:textId="2C134460" w:rsidR="00971EDA" w:rsidRPr="00971EDA" w:rsidRDefault="003D51EB" w:rsidP="00971EDA">
          <w:pPr>
            <w:pStyle w:val="TOC1"/>
            <w:tabs>
              <w:tab w:val="right" w:leader="dot" w:pos="9350"/>
            </w:tabs>
            <w:spacing w:after="240" w:line="240" w:lineRule="auto"/>
            <w:rPr>
              <w:rFonts w:ascii="Times New Roman" w:eastAsiaTheme="minorEastAsia" w:hAnsi="Times New Roman" w:cs="Times New Roman"/>
              <w:noProof/>
              <w:sz w:val="22"/>
              <w:szCs w:val="22"/>
              <w:lang w:val="en-US"/>
            </w:rPr>
          </w:pPr>
          <w:r w:rsidRPr="00971EDA">
            <w:rPr>
              <w:rFonts w:ascii="Times New Roman" w:hAnsi="Times New Roman" w:cs="Times New Roman"/>
            </w:rPr>
            <w:fldChar w:fldCharType="begin"/>
          </w:r>
          <w:r w:rsidRPr="00971EDA">
            <w:rPr>
              <w:rFonts w:ascii="Times New Roman" w:hAnsi="Times New Roman" w:cs="Times New Roman"/>
            </w:rPr>
            <w:instrText xml:space="preserve"> TOC \o "1-3" \h \z \u </w:instrText>
          </w:r>
          <w:r w:rsidRPr="00971EDA">
            <w:rPr>
              <w:rFonts w:ascii="Times New Roman" w:hAnsi="Times New Roman" w:cs="Times New Roman"/>
            </w:rPr>
            <w:fldChar w:fldCharType="separate"/>
          </w:r>
          <w:hyperlink w:anchor="_Toc535838866" w:history="1">
            <w:r w:rsidR="00971EDA" w:rsidRPr="00971EDA">
              <w:rPr>
                <w:rStyle w:val="Hyperlink"/>
                <w:rFonts w:ascii="Times New Roman" w:hAnsi="Times New Roman" w:cs="Times New Roman"/>
                <w:noProof/>
              </w:rPr>
              <w:t>TABLE OF AUTHORITIES</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_Toc535838866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ii</w:t>
            </w:r>
            <w:r w:rsidR="00971EDA" w:rsidRPr="00971EDA">
              <w:rPr>
                <w:rFonts w:ascii="Times New Roman" w:hAnsi="Times New Roman" w:cs="Times New Roman"/>
                <w:noProof/>
                <w:webHidden/>
              </w:rPr>
              <w:fldChar w:fldCharType="end"/>
            </w:r>
          </w:hyperlink>
        </w:p>
        <w:p w14:paraId="26740053" w14:textId="0D3885F4" w:rsidR="00971EDA" w:rsidRPr="00971EDA" w:rsidRDefault="00C05BED" w:rsidP="00971EDA">
          <w:pPr>
            <w:pStyle w:val="TOC1"/>
            <w:tabs>
              <w:tab w:val="right" w:leader="dot" w:pos="9350"/>
            </w:tabs>
            <w:spacing w:after="240" w:line="240" w:lineRule="auto"/>
            <w:rPr>
              <w:rFonts w:ascii="Times New Roman" w:eastAsiaTheme="minorEastAsia" w:hAnsi="Times New Roman" w:cs="Times New Roman"/>
              <w:noProof/>
              <w:sz w:val="22"/>
              <w:szCs w:val="22"/>
              <w:lang w:val="en-US"/>
            </w:rPr>
          </w:pPr>
          <w:hyperlink w:anchor="_Toc535838867" w:history="1">
            <w:r w:rsidR="00971EDA" w:rsidRPr="00971EDA">
              <w:rPr>
                <w:rStyle w:val="Hyperlink"/>
                <w:rFonts w:ascii="Times New Roman" w:hAnsi="Times New Roman" w:cs="Times New Roman"/>
                <w:noProof/>
              </w:rPr>
              <w:t>STATEMENT OF THE CASE</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_Toc535838867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w:t>
            </w:r>
            <w:r w:rsidR="00971EDA" w:rsidRPr="00971EDA">
              <w:rPr>
                <w:rFonts w:ascii="Times New Roman" w:hAnsi="Times New Roman" w:cs="Times New Roman"/>
                <w:noProof/>
                <w:webHidden/>
              </w:rPr>
              <w:fldChar w:fldCharType="end"/>
            </w:r>
          </w:hyperlink>
        </w:p>
        <w:p w14:paraId="4B3D4951" w14:textId="213C019C" w:rsidR="00971EDA" w:rsidRPr="00971EDA" w:rsidRDefault="00C05BED" w:rsidP="00971EDA">
          <w:pPr>
            <w:pStyle w:val="TOC1"/>
            <w:tabs>
              <w:tab w:val="right" w:leader="dot" w:pos="9350"/>
            </w:tabs>
            <w:spacing w:after="240" w:line="240" w:lineRule="auto"/>
            <w:rPr>
              <w:rFonts w:ascii="Times New Roman" w:eastAsiaTheme="minorEastAsia" w:hAnsi="Times New Roman" w:cs="Times New Roman"/>
              <w:noProof/>
              <w:sz w:val="22"/>
              <w:szCs w:val="22"/>
              <w:lang w:val="en-US"/>
            </w:rPr>
          </w:pPr>
          <w:hyperlink w:anchor="_Toc535838868" w:history="1">
            <w:r w:rsidR="00971EDA" w:rsidRPr="00971EDA">
              <w:rPr>
                <w:rStyle w:val="Hyperlink"/>
                <w:rFonts w:ascii="Times New Roman" w:hAnsi="Times New Roman" w:cs="Times New Roman"/>
                <w:noProof/>
              </w:rPr>
              <w:t>BACKGROUND</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_Toc535838868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2</w:t>
            </w:r>
            <w:r w:rsidR="00971EDA" w:rsidRPr="00971EDA">
              <w:rPr>
                <w:rFonts w:ascii="Times New Roman" w:hAnsi="Times New Roman" w:cs="Times New Roman"/>
                <w:noProof/>
                <w:webHidden/>
              </w:rPr>
              <w:fldChar w:fldCharType="end"/>
            </w:r>
          </w:hyperlink>
        </w:p>
        <w:p w14:paraId="0932881D" w14:textId="77C5BC0A" w:rsidR="00971EDA" w:rsidRPr="00971EDA" w:rsidRDefault="00C05BED" w:rsidP="00971EDA">
          <w:pPr>
            <w:pStyle w:val="TOC2"/>
            <w:spacing w:after="240" w:line="240" w:lineRule="auto"/>
            <w:rPr>
              <w:rFonts w:ascii="Times New Roman" w:eastAsiaTheme="minorEastAsia" w:hAnsi="Times New Roman" w:cs="Times New Roman"/>
              <w:noProof/>
              <w:sz w:val="22"/>
              <w:szCs w:val="22"/>
              <w:lang w:val="en-US"/>
            </w:rPr>
          </w:pPr>
          <w:hyperlink w:anchor="_Toc535838869" w:history="1">
            <w:r w:rsidR="00971EDA" w:rsidRPr="00971EDA">
              <w:rPr>
                <w:rStyle w:val="Hyperlink"/>
                <w:rFonts w:ascii="Times New Roman" w:hAnsi="Times New Roman" w:cs="Times New Roman"/>
                <w:noProof/>
              </w:rPr>
              <w:t>I.</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Whitewater Boating on the Green River as an Existing Use.</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_Toc535838869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3</w:t>
            </w:r>
            <w:r w:rsidR="00971EDA" w:rsidRPr="00971EDA">
              <w:rPr>
                <w:rFonts w:ascii="Times New Roman" w:hAnsi="Times New Roman" w:cs="Times New Roman"/>
                <w:noProof/>
                <w:webHidden/>
              </w:rPr>
              <w:fldChar w:fldCharType="end"/>
            </w:r>
          </w:hyperlink>
        </w:p>
        <w:p w14:paraId="729C7249" w14:textId="606EA174" w:rsidR="00971EDA" w:rsidRPr="00971EDA" w:rsidRDefault="00C05BED" w:rsidP="00971EDA">
          <w:pPr>
            <w:pStyle w:val="TOC2"/>
            <w:spacing w:after="240" w:line="240" w:lineRule="auto"/>
            <w:rPr>
              <w:rFonts w:ascii="Times New Roman" w:eastAsiaTheme="minorEastAsia" w:hAnsi="Times New Roman" w:cs="Times New Roman"/>
              <w:noProof/>
              <w:sz w:val="22"/>
              <w:szCs w:val="22"/>
              <w:lang w:val="en-US"/>
            </w:rPr>
          </w:pPr>
          <w:hyperlink w:anchor="_Toc535838870" w:history="1">
            <w:r w:rsidR="00971EDA" w:rsidRPr="00971EDA">
              <w:rPr>
                <w:rStyle w:val="Hyperlink"/>
                <w:rFonts w:ascii="Times New Roman" w:hAnsi="Times New Roman" w:cs="Times New Roman"/>
                <w:noProof/>
              </w:rPr>
              <w:t>II.</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Whitewater Boating in the Present Appeal.</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_Toc535838870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6</w:t>
            </w:r>
            <w:r w:rsidR="00971EDA" w:rsidRPr="00971EDA">
              <w:rPr>
                <w:rFonts w:ascii="Times New Roman" w:hAnsi="Times New Roman" w:cs="Times New Roman"/>
                <w:noProof/>
                <w:webHidden/>
              </w:rPr>
              <w:fldChar w:fldCharType="end"/>
            </w:r>
          </w:hyperlink>
        </w:p>
        <w:p w14:paraId="76D94BBC" w14:textId="76753229" w:rsidR="00971EDA" w:rsidRPr="00971EDA" w:rsidRDefault="00C05BED" w:rsidP="00971EDA">
          <w:pPr>
            <w:pStyle w:val="TOC1"/>
            <w:tabs>
              <w:tab w:val="right" w:leader="dot" w:pos="9350"/>
            </w:tabs>
            <w:spacing w:after="240" w:line="240" w:lineRule="auto"/>
            <w:rPr>
              <w:rFonts w:ascii="Times New Roman" w:eastAsiaTheme="minorEastAsia" w:hAnsi="Times New Roman" w:cs="Times New Roman"/>
              <w:noProof/>
              <w:sz w:val="22"/>
              <w:szCs w:val="22"/>
              <w:lang w:val="en-US"/>
            </w:rPr>
          </w:pPr>
          <w:hyperlink w:anchor="_Toc535838871" w:history="1">
            <w:r w:rsidR="00971EDA" w:rsidRPr="00971EDA">
              <w:rPr>
                <w:rStyle w:val="Hyperlink"/>
                <w:rFonts w:ascii="Times New Roman" w:hAnsi="Times New Roman" w:cs="Times New Roman"/>
                <w:noProof/>
              </w:rPr>
              <w:t>STANDARD OF REVIEW</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_Toc535838871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7</w:t>
            </w:r>
            <w:r w:rsidR="00971EDA" w:rsidRPr="00971EDA">
              <w:rPr>
                <w:rFonts w:ascii="Times New Roman" w:hAnsi="Times New Roman" w:cs="Times New Roman"/>
                <w:noProof/>
                <w:webHidden/>
              </w:rPr>
              <w:fldChar w:fldCharType="end"/>
            </w:r>
          </w:hyperlink>
        </w:p>
        <w:p w14:paraId="093B56D3" w14:textId="1D4C1106" w:rsidR="00971EDA" w:rsidRPr="00971EDA" w:rsidRDefault="00C05BED" w:rsidP="00971EDA">
          <w:pPr>
            <w:pStyle w:val="TOC1"/>
            <w:tabs>
              <w:tab w:val="right" w:leader="dot" w:pos="9350"/>
            </w:tabs>
            <w:spacing w:after="240" w:line="240" w:lineRule="auto"/>
            <w:rPr>
              <w:rFonts w:ascii="Times New Roman" w:eastAsiaTheme="minorEastAsia" w:hAnsi="Times New Roman" w:cs="Times New Roman"/>
              <w:noProof/>
              <w:sz w:val="22"/>
              <w:szCs w:val="22"/>
              <w:lang w:val="en-US"/>
            </w:rPr>
          </w:pPr>
          <w:hyperlink w:anchor="_Toc535838872" w:history="1">
            <w:r w:rsidR="00971EDA" w:rsidRPr="00971EDA">
              <w:rPr>
                <w:rStyle w:val="Hyperlink"/>
                <w:rFonts w:ascii="Times New Roman" w:hAnsi="Times New Roman" w:cs="Times New Roman"/>
                <w:noProof/>
              </w:rPr>
              <w:t>ARGUMENT</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_Toc535838872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9</w:t>
            </w:r>
            <w:r w:rsidR="00971EDA" w:rsidRPr="00971EDA">
              <w:rPr>
                <w:rFonts w:ascii="Times New Roman" w:hAnsi="Times New Roman" w:cs="Times New Roman"/>
                <w:noProof/>
                <w:webHidden/>
              </w:rPr>
              <w:fldChar w:fldCharType="end"/>
            </w:r>
          </w:hyperlink>
        </w:p>
        <w:p w14:paraId="447E82F1" w14:textId="4CCDC44C" w:rsidR="00971EDA" w:rsidRPr="00971EDA" w:rsidRDefault="00C05BED" w:rsidP="00971EDA">
          <w:pPr>
            <w:pStyle w:val="TOC2"/>
            <w:spacing w:after="240" w:line="240" w:lineRule="auto"/>
            <w:rPr>
              <w:rFonts w:ascii="Times New Roman" w:eastAsiaTheme="minorEastAsia" w:hAnsi="Times New Roman" w:cs="Times New Roman"/>
              <w:noProof/>
              <w:sz w:val="22"/>
              <w:szCs w:val="22"/>
              <w:lang w:val="en-US"/>
            </w:rPr>
          </w:pPr>
          <w:hyperlink w:anchor="_Toc535838873" w:history="1">
            <w:r w:rsidR="00971EDA" w:rsidRPr="00971EDA">
              <w:rPr>
                <w:rStyle w:val="Hyperlink"/>
                <w:rFonts w:ascii="Times New Roman" w:hAnsi="Times New Roman" w:cs="Times New Roman"/>
                <w:noProof/>
              </w:rPr>
              <w:t>I.</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There Is No Conflict Between the Designated Use of Aquatic Biota, Wildlife, and Aquatic Habitat, and The Existing Use of Whitewater Boating.</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_Toc535838873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10</w:t>
            </w:r>
            <w:r w:rsidR="00971EDA" w:rsidRPr="00971EDA">
              <w:rPr>
                <w:rFonts w:ascii="Times New Roman" w:hAnsi="Times New Roman" w:cs="Times New Roman"/>
                <w:noProof/>
                <w:webHidden/>
              </w:rPr>
              <w:fldChar w:fldCharType="end"/>
            </w:r>
          </w:hyperlink>
        </w:p>
        <w:p w14:paraId="44722A6C" w14:textId="7F45BA0F" w:rsidR="00971EDA" w:rsidRPr="00971EDA" w:rsidRDefault="00C05BED" w:rsidP="00971EDA">
          <w:pPr>
            <w:pStyle w:val="TOC2"/>
            <w:spacing w:after="240" w:line="240" w:lineRule="auto"/>
            <w:rPr>
              <w:rFonts w:ascii="Times New Roman" w:eastAsiaTheme="minorEastAsia" w:hAnsi="Times New Roman" w:cs="Times New Roman"/>
              <w:noProof/>
              <w:sz w:val="22"/>
              <w:szCs w:val="22"/>
              <w:lang w:val="en-US"/>
            </w:rPr>
          </w:pPr>
          <w:hyperlink w:anchor="_Toc535838874" w:history="1">
            <w:r w:rsidR="00971EDA" w:rsidRPr="00971EDA">
              <w:rPr>
                <w:rStyle w:val="Hyperlink"/>
                <w:rFonts w:ascii="Times New Roman" w:hAnsi="Times New Roman" w:cs="Times New Roman"/>
                <w:noProof/>
              </w:rPr>
              <w:t>II.</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The WQC and the Flow Regime Requested by ANR Violate State and Federal Regulations by Failing to Safeguard Conditions Necessary to Support the Existing Use of Whitewater Boating.</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_Toc535838874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12</w:t>
            </w:r>
            <w:r w:rsidR="00971EDA" w:rsidRPr="00971EDA">
              <w:rPr>
                <w:rFonts w:ascii="Times New Roman" w:hAnsi="Times New Roman" w:cs="Times New Roman"/>
                <w:noProof/>
                <w:webHidden/>
              </w:rPr>
              <w:fldChar w:fldCharType="end"/>
            </w:r>
          </w:hyperlink>
        </w:p>
        <w:p w14:paraId="6AD24706" w14:textId="5F2F3B74" w:rsidR="00971EDA" w:rsidRPr="00971EDA" w:rsidRDefault="00C05BED" w:rsidP="00971EDA">
          <w:pPr>
            <w:pStyle w:val="TOC3"/>
            <w:tabs>
              <w:tab w:val="left" w:pos="2160"/>
            </w:tabs>
            <w:spacing w:after="240"/>
            <w:rPr>
              <w:rFonts w:ascii="Times New Roman" w:eastAsiaTheme="minorEastAsia" w:hAnsi="Times New Roman" w:cs="Times New Roman"/>
              <w:noProof/>
              <w:sz w:val="22"/>
              <w:szCs w:val="22"/>
              <w:lang w:val="en-US"/>
            </w:rPr>
          </w:pPr>
          <w:hyperlink w:anchor="_Toc535838875" w:history="1">
            <w:r w:rsidR="00971EDA" w:rsidRPr="00971EDA">
              <w:rPr>
                <w:rStyle w:val="Hyperlink"/>
                <w:rFonts w:ascii="Times New Roman" w:hAnsi="Times New Roman" w:cs="Times New Roman"/>
                <w:noProof/>
              </w:rPr>
              <w:t>a.</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The WQC Must Provide for Conditions Supporting Whitewater Boating as an Existing Use.</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_Toc535838875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12</w:t>
            </w:r>
            <w:r w:rsidR="00971EDA" w:rsidRPr="00971EDA">
              <w:rPr>
                <w:rFonts w:ascii="Times New Roman" w:hAnsi="Times New Roman" w:cs="Times New Roman"/>
                <w:noProof/>
                <w:webHidden/>
              </w:rPr>
              <w:fldChar w:fldCharType="end"/>
            </w:r>
          </w:hyperlink>
        </w:p>
        <w:p w14:paraId="1FFBB08F" w14:textId="13A23931" w:rsidR="00971EDA" w:rsidRPr="00971EDA" w:rsidRDefault="00C05BED" w:rsidP="00971EDA">
          <w:pPr>
            <w:pStyle w:val="TOC3"/>
            <w:tabs>
              <w:tab w:val="left" w:pos="2160"/>
            </w:tabs>
            <w:spacing w:after="240"/>
            <w:rPr>
              <w:rFonts w:ascii="Times New Roman" w:eastAsiaTheme="minorEastAsia" w:hAnsi="Times New Roman" w:cs="Times New Roman"/>
              <w:noProof/>
              <w:sz w:val="22"/>
              <w:szCs w:val="22"/>
              <w:lang w:val="en-US"/>
            </w:rPr>
          </w:pPr>
          <w:hyperlink w:anchor="_Toc535838876" w:history="1">
            <w:r w:rsidR="00971EDA" w:rsidRPr="00971EDA">
              <w:rPr>
                <w:rStyle w:val="Hyperlink"/>
                <w:rFonts w:ascii="Times New Roman" w:hAnsi="Times New Roman" w:cs="Times New Roman"/>
                <w:noProof/>
              </w:rPr>
              <w:t>b.</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ANR’s Proposal Would Substantially Limit or Eliminate Whitewater Boating on the Green River</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_Toc535838876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14</w:t>
            </w:r>
            <w:r w:rsidR="00971EDA" w:rsidRPr="00971EDA">
              <w:rPr>
                <w:rFonts w:ascii="Times New Roman" w:hAnsi="Times New Roman" w:cs="Times New Roman"/>
                <w:noProof/>
                <w:webHidden/>
              </w:rPr>
              <w:fldChar w:fldCharType="end"/>
            </w:r>
          </w:hyperlink>
        </w:p>
        <w:p w14:paraId="15B12FB3" w14:textId="225AFF9C" w:rsidR="00971EDA" w:rsidRPr="00971EDA" w:rsidRDefault="00C05BED" w:rsidP="00971EDA">
          <w:pPr>
            <w:pStyle w:val="TOC2"/>
            <w:spacing w:after="240" w:line="240" w:lineRule="auto"/>
            <w:rPr>
              <w:rFonts w:ascii="Times New Roman" w:eastAsiaTheme="minorEastAsia" w:hAnsi="Times New Roman" w:cs="Times New Roman"/>
              <w:noProof/>
              <w:sz w:val="22"/>
              <w:szCs w:val="22"/>
              <w:lang w:val="en-US"/>
            </w:rPr>
          </w:pPr>
          <w:hyperlink w:anchor="_Toc535838877" w:history="1">
            <w:r w:rsidR="00971EDA" w:rsidRPr="00971EDA">
              <w:rPr>
                <w:rStyle w:val="Hyperlink"/>
                <w:rFonts w:ascii="Times New Roman" w:hAnsi="Times New Roman" w:cs="Times New Roman"/>
                <w:noProof/>
              </w:rPr>
              <w:t>III.</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ANR’s Attempt to Qualify the Degree of Protection Due to Existing Uses Is Not Entitled to Deference.</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_Toc535838877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17</w:t>
            </w:r>
            <w:r w:rsidR="00971EDA" w:rsidRPr="00971EDA">
              <w:rPr>
                <w:rFonts w:ascii="Times New Roman" w:hAnsi="Times New Roman" w:cs="Times New Roman"/>
                <w:noProof/>
                <w:webHidden/>
              </w:rPr>
              <w:fldChar w:fldCharType="end"/>
            </w:r>
          </w:hyperlink>
        </w:p>
        <w:p w14:paraId="497FA006" w14:textId="3FA66741" w:rsidR="00971EDA" w:rsidRPr="00971EDA" w:rsidRDefault="00C05BED" w:rsidP="00971EDA">
          <w:pPr>
            <w:pStyle w:val="TOC3"/>
            <w:tabs>
              <w:tab w:val="left" w:pos="2160"/>
            </w:tabs>
            <w:spacing w:after="240"/>
            <w:rPr>
              <w:rFonts w:ascii="Times New Roman" w:eastAsiaTheme="minorEastAsia" w:hAnsi="Times New Roman" w:cs="Times New Roman"/>
              <w:noProof/>
              <w:sz w:val="22"/>
              <w:szCs w:val="22"/>
              <w:lang w:val="en-US"/>
            </w:rPr>
          </w:pPr>
          <w:hyperlink w:anchor="_Toc535838878" w:history="1">
            <w:r w:rsidR="00971EDA" w:rsidRPr="00971EDA">
              <w:rPr>
                <w:rStyle w:val="Hyperlink"/>
                <w:rFonts w:ascii="Times New Roman" w:hAnsi="Times New Roman" w:cs="Times New Roman"/>
                <w:noProof/>
              </w:rPr>
              <w:t>a.</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ANR Misconstrues Relevant Federal Regulations.</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_Toc535838878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17</w:t>
            </w:r>
            <w:r w:rsidR="00971EDA" w:rsidRPr="00971EDA">
              <w:rPr>
                <w:rFonts w:ascii="Times New Roman" w:hAnsi="Times New Roman" w:cs="Times New Roman"/>
                <w:noProof/>
                <w:webHidden/>
              </w:rPr>
              <w:fldChar w:fldCharType="end"/>
            </w:r>
          </w:hyperlink>
        </w:p>
        <w:p w14:paraId="402AD049" w14:textId="7A1E45EC" w:rsidR="00971EDA" w:rsidRPr="00971EDA" w:rsidRDefault="00C05BED" w:rsidP="00971EDA">
          <w:pPr>
            <w:pStyle w:val="TOC3"/>
            <w:tabs>
              <w:tab w:val="left" w:pos="2160"/>
            </w:tabs>
            <w:spacing w:after="240"/>
            <w:rPr>
              <w:rFonts w:ascii="Times New Roman" w:eastAsiaTheme="minorEastAsia" w:hAnsi="Times New Roman" w:cs="Times New Roman"/>
              <w:noProof/>
              <w:sz w:val="22"/>
              <w:szCs w:val="22"/>
              <w:lang w:val="en-US"/>
            </w:rPr>
          </w:pPr>
          <w:hyperlink w:anchor="_Toc535838879" w:history="1">
            <w:r w:rsidR="00971EDA" w:rsidRPr="00971EDA">
              <w:rPr>
                <w:rStyle w:val="Hyperlink"/>
                <w:rFonts w:ascii="Times New Roman" w:hAnsi="Times New Roman" w:cs="Times New Roman"/>
                <w:noProof/>
              </w:rPr>
              <w:t>b.</w:t>
            </w:r>
            <w:r w:rsidR="00971EDA" w:rsidRPr="00971EDA">
              <w:rPr>
                <w:rFonts w:ascii="Times New Roman" w:eastAsiaTheme="minorEastAsia" w:hAnsi="Times New Roman" w:cs="Times New Roman"/>
                <w:noProof/>
                <w:sz w:val="22"/>
                <w:szCs w:val="22"/>
                <w:lang w:val="en-US"/>
              </w:rPr>
              <w:tab/>
            </w:r>
            <w:r w:rsidR="00971EDA" w:rsidRPr="00971EDA">
              <w:rPr>
                <w:rStyle w:val="Hyperlink"/>
                <w:rFonts w:ascii="Times New Roman" w:hAnsi="Times New Roman" w:cs="Times New Roman"/>
                <w:noProof/>
              </w:rPr>
              <w:t>ANR’s Construction of the VWQS Antidegradation Policy Is Not Entitled to Deference.</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_Toc535838879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21</w:t>
            </w:r>
            <w:r w:rsidR="00971EDA" w:rsidRPr="00971EDA">
              <w:rPr>
                <w:rFonts w:ascii="Times New Roman" w:hAnsi="Times New Roman" w:cs="Times New Roman"/>
                <w:noProof/>
                <w:webHidden/>
              </w:rPr>
              <w:fldChar w:fldCharType="end"/>
            </w:r>
          </w:hyperlink>
        </w:p>
        <w:p w14:paraId="45854CA6" w14:textId="5C09E42E" w:rsidR="00971EDA" w:rsidRPr="00971EDA" w:rsidRDefault="00C05BED" w:rsidP="00971EDA">
          <w:pPr>
            <w:pStyle w:val="TOC1"/>
            <w:tabs>
              <w:tab w:val="right" w:leader="dot" w:pos="9350"/>
            </w:tabs>
            <w:spacing w:after="240" w:line="240" w:lineRule="auto"/>
            <w:rPr>
              <w:rFonts w:ascii="Times New Roman" w:eastAsiaTheme="minorEastAsia" w:hAnsi="Times New Roman" w:cs="Times New Roman"/>
              <w:noProof/>
              <w:sz w:val="22"/>
              <w:szCs w:val="22"/>
              <w:lang w:val="en-US"/>
            </w:rPr>
          </w:pPr>
          <w:hyperlink w:anchor="_Toc535838880" w:history="1">
            <w:r w:rsidR="00971EDA" w:rsidRPr="00971EDA">
              <w:rPr>
                <w:rStyle w:val="Hyperlink"/>
                <w:rFonts w:ascii="Times New Roman" w:hAnsi="Times New Roman" w:cs="Times New Roman"/>
                <w:noProof/>
              </w:rPr>
              <w:t>CONCLUSION</w:t>
            </w:r>
            <w:r w:rsidR="00971EDA" w:rsidRPr="00971EDA">
              <w:rPr>
                <w:rFonts w:ascii="Times New Roman" w:hAnsi="Times New Roman" w:cs="Times New Roman"/>
                <w:noProof/>
                <w:webHidden/>
              </w:rPr>
              <w:tab/>
            </w:r>
            <w:r w:rsidR="00971EDA" w:rsidRPr="00971EDA">
              <w:rPr>
                <w:rFonts w:ascii="Times New Roman" w:hAnsi="Times New Roman" w:cs="Times New Roman"/>
                <w:noProof/>
                <w:webHidden/>
              </w:rPr>
              <w:fldChar w:fldCharType="begin"/>
            </w:r>
            <w:r w:rsidR="00971EDA" w:rsidRPr="00971EDA">
              <w:rPr>
                <w:rFonts w:ascii="Times New Roman" w:hAnsi="Times New Roman" w:cs="Times New Roman"/>
                <w:noProof/>
                <w:webHidden/>
              </w:rPr>
              <w:instrText xml:space="preserve"> PAGEREF _Toc535838880 \h </w:instrText>
            </w:r>
            <w:r w:rsidR="00971EDA" w:rsidRPr="00971EDA">
              <w:rPr>
                <w:rFonts w:ascii="Times New Roman" w:hAnsi="Times New Roman" w:cs="Times New Roman"/>
                <w:noProof/>
                <w:webHidden/>
              </w:rPr>
            </w:r>
            <w:r w:rsidR="00971EDA" w:rsidRPr="00971EDA">
              <w:rPr>
                <w:rFonts w:ascii="Times New Roman" w:hAnsi="Times New Roman" w:cs="Times New Roman"/>
                <w:noProof/>
                <w:webHidden/>
              </w:rPr>
              <w:fldChar w:fldCharType="separate"/>
            </w:r>
            <w:r w:rsidR="00971EDA">
              <w:rPr>
                <w:rFonts w:ascii="Times New Roman" w:hAnsi="Times New Roman" w:cs="Times New Roman"/>
                <w:noProof/>
                <w:webHidden/>
              </w:rPr>
              <w:t>23</w:t>
            </w:r>
            <w:r w:rsidR="00971EDA" w:rsidRPr="00971EDA">
              <w:rPr>
                <w:rFonts w:ascii="Times New Roman" w:hAnsi="Times New Roman" w:cs="Times New Roman"/>
                <w:noProof/>
                <w:webHidden/>
              </w:rPr>
              <w:fldChar w:fldCharType="end"/>
            </w:r>
          </w:hyperlink>
        </w:p>
        <w:p w14:paraId="077BCB62" w14:textId="7E1651D9" w:rsidR="003D51EB" w:rsidRPr="008F07F2" w:rsidRDefault="003D51EB" w:rsidP="00971EDA">
          <w:pPr>
            <w:spacing w:after="240" w:line="240" w:lineRule="auto"/>
            <w:rPr>
              <w:rFonts w:ascii="Times New Roman" w:hAnsi="Times New Roman" w:cs="Times New Roman"/>
            </w:rPr>
          </w:pPr>
          <w:r w:rsidRPr="00971EDA">
            <w:rPr>
              <w:rFonts w:ascii="Times New Roman" w:hAnsi="Times New Roman" w:cs="Times New Roman"/>
              <w:b/>
              <w:bCs/>
              <w:noProof/>
            </w:rPr>
            <w:fldChar w:fldCharType="end"/>
          </w:r>
        </w:p>
      </w:sdtContent>
    </w:sdt>
    <w:p w14:paraId="33361664" w14:textId="77777777" w:rsidR="000E5CB8" w:rsidRPr="008F07F2" w:rsidRDefault="000E5CB8" w:rsidP="003D51EB">
      <w:pPr>
        <w:ind w:left="720" w:firstLine="0"/>
        <w:rPr>
          <w:rFonts w:ascii="Times New Roman" w:hAnsi="Times New Roman" w:cs="Times New Roman"/>
        </w:rPr>
      </w:pPr>
    </w:p>
    <w:p w14:paraId="3D05BF1D" w14:textId="77777777" w:rsidR="000E5CB8" w:rsidRPr="008F07F2" w:rsidRDefault="000E5CB8" w:rsidP="003D51EB">
      <w:pPr>
        <w:ind w:left="720" w:firstLine="0"/>
        <w:rPr>
          <w:rFonts w:ascii="Times New Roman" w:hAnsi="Times New Roman" w:cs="Times New Roman"/>
        </w:rPr>
      </w:pPr>
    </w:p>
    <w:p w14:paraId="20818BA3" w14:textId="77777777" w:rsidR="00266CF2" w:rsidRPr="008F07F2" w:rsidRDefault="00266CF2" w:rsidP="003D51EB">
      <w:pPr>
        <w:pStyle w:val="Heading1"/>
        <w:rPr>
          <w:rFonts w:ascii="Times New Roman" w:hAnsi="Times New Roman" w:cs="Times New Roman"/>
        </w:rPr>
        <w:sectPr w:rsidR="00266CF2" w:rsidRPr="008F07F2" w:rsidSect="00266CF2">
          <w:footerReference w:type="first" r:id="rId15"/>
          <w:type w:val="continuous"/>
          <w:pgSz w:w="12240" w:h="15840"/>
          <w:pgMar w:top="1440" w:right="1440" w:bottom="1440" w:left="1440" w:header="720" w:footer="720" w:gutter="0"/>
          <w:pgNumType w:fmt="lowerRoman" w:start="1"/>
          <w:cols w:space="720"/>
          <w:titlePg/>
          <w:docGrid w:linePitch="326"/>
        </w:sectPr>
      </w:pPr>
    </w:p>
    <w:p w14:paraId="24D6A65C" w14:textId="77777777" w:rsidR="000E5CB8" w:rsidRPr="008F07F2" w:rsidRDefault="000B5427" w:rsidP="003D51EB">
      <w:pPr>
        <w:pStyle w:val="Heading1"/>
        <w:rPr>
          <w:rFonts w:ascii="Times New Roman" w:hAnsi="Times New Roman" w:cs="Times New Roman"/>
        </w:rPr>
      </w:pPr>
      <w:bookmarkStart w:id="0" w:name="_Toc535838866"/>
      <w:r w:rsidRPr="008F07F2">
        <w:rPr>
          <w:rFonts w:ascii="Times New Roman" w:hAnsi="Times New Roman" w:cs="Times New Roman"/>
        </w:rPr>
        <w:lastRenderedPageBreak/>
        <w:t>T</w:t>
      </w:r>
      <w:r w:rsidR="000E5CB8" w:rsidRPr="008F07F2">
        <w:rPr>
          <w:rFonts w:ascii="Times New Roman" w:hAnsi="Times New Roman" w:cs="Times New Roman"/>
        </w:rPr>
        <w:t>ABLE OF AUTHORITIES</w:t>
      </w:r>
      <w:bookmarkEnd w:id="0"/>
    </w:p>
    <w:p w14:paraId="783F476F" w14:textId="77777777" w:rsidR="00971EDA" w:rsidRPr="00971EDA" w:rsidRDefault="00EA7522">
      <w:pPr>
        <w:pStyle w:val="TOAHeading"/>
        <w:tabs>
          <w:tab w:val="right" w:leader="dot" w:pos="9350"/>
        </w:tabs>
        <w:rPr>
          <w:rFonts w:ascii="Times New Roman" w:eastAsiaTheme="minorEastAsia" w:hAnsi="Times New Roman" w:cs="Times New Roman"/>
          <w:b w:val="0"/>
          <w:bCs w:val="0"/>
          <w:noProof/>
          <w:sz w:val="22"/>
          <w:szCs w:val="22"/>
        </w:rPr>
      </w:pPr>
      <w:r w:rsidRPr="00971EDA">
        <w:rPr>
          <w:rFonts w:ascii="Times New Roman" w:hAnsi="Times New Roman" w:cs="Times New Roman"/>
        </w:rPr>
        <w:fldChar w:fldCharType="begin"/>
      </w:r>
      <w:r w:rsidRPr="00971EDA">
        <w:rPr>
          <w:rFonts w:ascii="Times New Roman" w:hAnsi="Times New Roman" w:cs="Times New Roman"/>
        </w:rPr>
        <w:instrText xml:space="preserve"> TOA \h \c "1" \p </w:instrText>
      </w:r>
      <w:r w:rsidRPr="00971EDA">
        <w:rPr>
          <w:rFonts w:ascii="Times New Roman" w:hAnsi="Times New Roman" w:cs="Times New Roman"/>
        </w:rPr>
        <w:fldChar w:fldCharType="separate"/>
      </w:r>
      <w:r w:rsidR="00971EDA" w:rsidRPr="00971EDA">
        <w:rPr>
          <w:rFonts w:ascii="Times New Roman" w:hAnsi="Times New Roman" w:cs="Times New Roman"/>
          <w:noProof/>
        </w:rPr>
        <w:t>Cases</w:t>
      </w:r>
    </w:p>
    <w:p w14:paraId="2EA45E05"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Bowen v. Georgetown Univ. Hospital</w:t>
      </w:r>
      <w:r w:rsidRPr="00971EDA">
        <w:rPr>
          <w:rFonts w:ascii="Times New Roman" w:hAnsi="Times New Roman" w:cs="Times New Roman"/>
          <w:noProof/>
        </w:rPr>
        <w:t>, 488 U.S. 204 (1988)</w:t>
      </w:r>
      <w:r w:rsidRPr="00971EDA">
        <w:rPr>
          <w:rFonts w:ascii="Times New Roman" w:hAnsi="Times New Roman" w:cs="Times New Roman"/>
          <w:noProof/>
        </w:rPr>
        <w:tab/>
        <w:t>7</w:t>
      </w:r>
    </w:p>
    <w:p w14:paraId="72B7A07C"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Huntington v. Dep’t of Soc. &amp; Rehab. Servs.</w:t>
      </w:r>
      <w:r w:rsidRPr="00971EDA">
        <w:rPr>
          <w:rFonts w:ascii="Times New Roman" w:hAnsi="Times New Roman" w:cs="Times New Roman"/>
          <w:noProof/>
        </w:rPr>
        <w:t>, 139 Vt. 416, 430 A.2d 460 (1981)</w:t>
      </w:r>
      <w:r w:rsidRPr="00971EDA">
        <w:rPr>
          <w:rFonts w:ascii="Times New Roman" w:hAnsi="Times New Roman" w:cs="Times New Roman"/>
          <w:noProof/>
        </w:rPr>
        <w:tab/>
        <w:t>8, 21</w:t>
      </w:r>
    </w:p>
    <w:p w14:paraId="09949782"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I.N.S. v. Cardoza-Fonseca</w:t>
      </w:r>
      <w:r w:rsidRPr="00971EDA">
        <w:rPr>
          <w:rFonts w:ascii="Times New Roman" w:hAnsi="Times New Roman" w:cs="Times New Roman"/>
          <w:noProof/>
        </w:rPr>
        <w:t>, 480 U.S. 421 (1987)</w:t>
      </w:r>
      <w:r w:rsidRPr="00971EDA">
        <w:rPr>
          <w:rFonts w:ascii="Times New Roman" w:hAnsi="Times New Roman" w:cs="Times New Roman"/>
          <w:noProof/>
        </w:rPr>
        <w:tab/>
        <w:t>8, 22</w:t>
      </w:r>
    </w:p>
    <w:p w14:paraId="2484FD6B"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 re Albert</w:t>
      </w:r>
      <w:r w:rsidRPr="00971EDA">
        <w:rPr>
          <w:rFonts w:ascii="Times New Roman" w:hAnsi="Times New Roman" w:cs="Times New Roman"/>
          <w:noProof/>
        </w:rPr>
        <w:t>, 2008 VT 30, 183 Vt. 637, 954 A.2d 1281</w:t>
      </w:r>
      <w:r w:rsidRPr="00971EDA">
        <w:rPr>
          <w:rFonts w:ascii="Times New Roman" w:hAnsi="Times New Roman" w:cs="Times New Roman"/>
          <w:noProof/>
        </w:rPr>
        <w:tab/>
        <w:t>8, 18</w:t>
      </w:r>
    </w:p>
    <w:p w14:paraId="1CFAA546"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 re ANR Permits in Lowell Mountain Wind Project</w:t>
      </w:r>
      <w:r w:rsidRPr="00971EDA">
        <w:rPr>
          <w:rFonts w:ascii="Times New Roman" w:hAnsi="Times New Roman" w:cs="Times New Roman"/>
          <w:noProof/>
        </w:rPr>
        <w:t>, 2014 VT 50, 196 Vt. 467, 98 A.3d 16</w:t>
      </w:r>
      <w:r w:rsidRPr="00971EDA">
        <w:rPr>
          <w:rFonts w:ascii="Times New Roman" w:hAnsi="Times New Roman" w:cs="Times New Roman"/>
          <w:noProof/>
        </w:rPr>
        <w:tab/>
        <w:t>7</w:t>
      </w:r>
    </w:p>
    <w:p w14:paraId="56A33922"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 re Conservation Law Found.</w:t>
      </w:r>
      <w:r w:rsidRPr="00971EDA">
        <w:rPr>
          <w:rFonts w:ascii="Times New Roman" w:hAnsi="Times New Roman" w:cs="Times New Roman"/>
          <w:noProof/>
        </w:rPr>
        <w:t>, 2018 VT 42, 188 A.3d 667</w:t>
      </w:r>
      <w:r w:rsidRPr="00971EDA">
        <w:rPr>
          <w:rFonts w:ascii="Times New Roman" w:hAnsi="Times New Roman" w:cs="Times New Roman"/>
          <w:noProof/>
        </w:rPr>
        <w:tab/>
        <w:t>7</w:t>
      </w:r>
    </w:p>
    <w:p w14:paraId="4ED3AAD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highlight w:val="white"/>
        </w:rPr>
        <w:t>In re Korrow Real Estate, LLC Act 250 Permit Amendment Application</w:t>
      </w:r>
      <w:r w:rsidRPr="00971EDA">
        <w:rPr>
          <w:rFonts w:ascii="Times New Roman" w:hAnsi="Times New Roman" w:cs="Times New Roman"/>
          <w:noProof/>
          <w:highlight w:val="white"/>
        </w:rPr>
        <w:t>, 2018 VT 39</w:t>
      </w:r>
      <w:r w:rsidRPr="00971EDA">
        <w:rPr>
          <w:rFonts w:ascii="Times New Roman" w:hAnsi="Times New Roman" w:cs="Times New Roman"/>
          <w:noProof/>
        </w:rPr>
        <w:t>, 187 A.3d 1125</w:t>
      </w:r>
      <w:r w:rsidRPr="00971EDA">
        <w:rPr>
          <w:rFonts w:ascii="Times New Roman" w:hAnsi="Times New Roman" w:cs="Times New Roman"/>
          <w:noProof/>
        </w:rPr>
        <w:tab/>
        <w:t>7</w:t>
      </w:r>
    </w:p>
    <w:p w14:paraId="294EAE23"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 re Stormwater NPDES Petition</w:t>
      </w:r>
      <w:r w:rsidRPr="00971EDA">
        <w:rPr>
          <w:rFonts w:ascii="Times New Roman" w:hAnsi="Times New Roman" w:cs="Times New Roman"/>
          <w:noProof/>
        </w:rPr>
        <w:t>, 2006 VT 91, 180 Vt. 261, 910 A.2d 824</w:t>
      </w:r>
      <w:r w:rsidRPr="00971EDA">
        <w:rPr>
          <w:rFonts w:ascii="Times New Roman" w:hAnsi="Times New Roman" w:cs="Times New Roman"/>
          <w:noProof/>
        </w:rPr>
        <w:tab/>
        <w:t>8, 17</w:t>
      </w:r>
    </w:p>
    <w:p w14:paraId="4A7B43F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 re Vill. Assocs. Act 250 Land Use Permit</w:t>
      </w:r>
      <w:r w:rsidRPr="00971EDA">
        <w:rPr>
          <w:rFonts w:ascii="Times New Roman" w:hAnsi="Times New Roman" w:cs="Times New Roman"/>
          <w:noProof/>
        </w:rPr>
        <w:t>, 2010 VT 42A, ¶ 7, 188 Vt. 113, 998 A.2d 712</w:t>
      </w:r>
      <w:r w:rsidRPr="00971EDA">
        <w:rPr>
          <w:rFonts w:ascii="Times New Roman" w:hAnsi="Times New Roman" w:cs="Times New Roman"/>
          <w:noProof/>
        </w:rPr>
        <w:tab/>
        <w:t>7</w:t>
      </w:r>
    </w:p>
    <w:p w14:paraId="75EC217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In re Zaremba Grp. Act 250 Permit</w:t>
      </w:r>
      <w:r w:rsidRPr="00971EDA">
        <w:rPr>
          <w:rFonts w:ascii="Times New Roman" w:hAnsi="Times New Roman" w:cs="Times New Roman"/>
          <w:noProof/>
        </w:rPr>
        <w:t>, 2015 VT 88, 199 Vt. 538, 127 A.3d 93</w:t>
      </w:r>
      <w:r w:rsidRPr="00971EDA">
        <w:rPr>
          <w:rFonts w:ascii="Times New Roman" w:hAnsi="Times New Roman" w:cs="Times New Roman"/>
          <w:noProof/>
        </w:rPr>
        <w:tab/>
        <w:t>7</w:t>
      </w:r>
    </w:p>
    <w:p w14:paraId="7ECDBDC7"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Kentucky Waterways All. v. Johnson</w:t>
      </w:r>
      <w:r w:rsidRPr="00971EDA">
        <w:rPr>
          <w:rFonts w:ascii="Times New Roman" w:hAnsi="Times New Roman" w:cs="Times New Roman"/>
          <w:noProof/>
        </w:rPr>
        <w:t>, 540 F.3d 466 (6th Cir. 2008)</w:t>
      </w:r>
      <w:r w:rsidRPr="00971EDA">
        <w:rPr>
          <w:rFonts w:ascii="Times New Roman" w:hAnsi="Times New Roman" w:cs="Times New Roman"/>
          <w:noProof/>
        </w:rPr>
        <w:tab/>
        <w:t>19</w:t>
      </w:r>
    </w:p>
    <w:p w14:paraId="35F687C9"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Lewis v. Grinker</w:t>
      </w:r>
      <w:r w:rsidRPr="00971EDA">
        <w:rPr>
          <w:rFonts w:ascii="Times New Roman" w:hAnsi="Times New Roman" w:cs="Times New Roman"/>
          <w:noProof/>
        </w:rPr>
        <w:t>, 965 F.2d 1206 (2d Cir. 1992)</w:t>
      </w:r>
      <w:r w:rsidRPr="00971EDA">
        <w:rPr>
          <w:rFonts w:ascii="Times New Roman" w:hAnsi="Times New Roman" w:cs="Times New Roman"/>
          <w:noProof/>
        </w:rPr>
        <w:tab/>
        <w:t>7, 21</w:t>
      </w:r>
    </w:p>
    <w:p w14:paraId="4DC3F3AC"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Petition of Town of Sherburne</w:t>
      </w:r>
      <w:r w:rsidRPr="00971EDA">
        <w:rPr>
          <w:rFonts w:ascii="Times New Roman" w:hAnsi="Times New Roman" w:cs="Times New Roman"/>
          <w:noProof/>
        </w:rPr>
        <w:t>, 154 Vt. 596, 581 A.2d 274 (1990)</w:t>
      </w:r>
      <w:r w:rsidRPr="00971EDA">
        <w:rPr>
          <w:rFonts w:ascii="Times New Roman" w:hAnsi="Times New Roman" w:cs="Times New Roman"/>
          <w:noProof/>
        </w:rPr>
        <w:tab/>
        <w:t>8</w:t>
      </w:r>
    </w:p>
    <w:p w14:paraId="7167FC87"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Plum Creek Maine Timberlands, LLC v. Vermont Dep't of Forests, Parks &amp; Recreation</w:t>
      </w:r>
      <w:r w:rsidRPr="00971EDA">
        <w:rPr>
          <w:rFonts w:ascii="Times New Roman" w:hAnsi="Times New Roman" w:cs="Times New Roman"/>
          <w:noProof/>
        </w:rPr>
        <w:t>, 2016 VT 103, 203 Vt. 197, 155 A.3d 694</w:t>
      </w:r>
      <w:r w:rsidRPr="00971EDA">
        <w:rPr>
          <w:rFonts w:ascii="Times New Roman" w:hAnsi="Times New Roman" w:cs="Times New Roman"/>
          <w:noProof/>
        </w:rPr>
        <w:tab/>
        <w:t>7</w:t>
      </w:r>
    </w:p>
    <w:p w14:paraId="3D4FA83A"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PUD No. 1 of Jefferson Cty. v. Washington Dep’t of Ecology</w:t>
      </w:r>
      <w:r w:rsidRPr="00971EDA">
        <w:rPr>
          <w:rFonts w:ascii="Times New Roman" w:hAnsi="Times New Roman" w:cs="Times New Roman"/>
          <w:noProof/>
        </w:rPr>
        <w:t>, 511 U.S. 700 (1994)</w:t>
      </w:r>
      <w:r w:rsidRPr="00971EDA">
        <w:rPr>
          <w:rFonts w:ascii="Times New Roman" w:hAnsi="Times New Roman" w:cs="Times New Roman"/>
          <w:noProof/>
        </w:rPr>
        <w:tab/>
        <w:t>14, 17, 23</w:t>
      </w:r>
    </w:p>
    <w:p w14:paraId="33F5832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Skidmore v. Swift &amp; Co.</w:t>
      </w:r>
      <w:r w:rsidRPr="00971EDA">
        <w:rPr>
          <w:rFonts w:ascii="Times New Roman" w:hAnsi="Times New Roman" w:cs="Times New Roman"/>
          <w:noProof/>
        </w:rPr>
        <w:t>, 323 U.S. 134 (1944)</w:t>
      </w:r>
      <w:r w:rsidRPr="00971EDA">
        <w:rPr>
          <w:rFonts w:ascii="Times New Roman" w:hAnsi="Times New Roman" w:cs="Times New Roman"/>
          <w:noProof/>
        </w:rPr>
        <w:tab/>
        <w:t>8</w:t>
      </w:r>
    </w:p>
    <w:p w14:paraId="6CB62179"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State v. Madison</w:t>
      </w:r>
      <w:r w:rsidRPr="00971EDA">
        <w:rPr>
          <w:rFonts w:ascii="Times New Roman" w:hAnsi="Times New Roman" w:cs="Times New Roman"/>
          <w:noProof/>
        </w:rPr>
        <w:t>, 163 Vt. 360, 658 A.2d 536 (1995)</w:t>
      </w:r>
      <w:r w:rsidRPr="00971EDA">
        <w:rPr>
          <w:rFonts w:ascii="Times New Roman" w:hAnsi="Times New Roman" w:cs="Times New Roman"/>
          <w:noProof/>
        </w:rPr>
        <w:tab/>
        <w:t>9</w:t>
      </w:r>
    </w:p>
    <w:p w14:paraId="222F0DC7"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i/>
          <w:noProof/>
        </w:rPr>
        <w:t>United States v. Mead Corp.</w:t>
      </w:r>
      <w:r w:rsidRPr="00971EDA">
        <w:rPr>
          <w:rFonts w:ascii="Times New Roman" w:hAnsi="Times New Roman" w:cs="Times New Roman"/>
          <w:noProof/>
        </w:rPr>
        <w:t>, 533 U.S. 218 (2001)</w:t>
      </w:r>
      <w:r w:rsidRPr="00971EDA">
        <w:rPr>
          <w:rFonts w:ascii="Times New Roman" w:hAnsi="Times New Roman" w:cs="Times New Roman"/>
          <w:noProof/>
        </w:rPr>
        <w:tab/>
        <w:t>8</w:t>
      </w:r>
    </w:p>
    <w:p w14:paraId="44F18D4D" w14:textId="77777777" w:rsidR="00971EDA" w:rsidRPr="00971EDA" w:rsidRDefault="00EA7522">
      <w:pPr>
        <w:pStyle w:val="TOAHeading"/>
        <w:tabs>
          <w:tab w:val="right" w:leader="dot" w:pos="9350"/>
        </w:tabs>
        <w:rPr>
          <w:rFonts w:ascii="Times New Roman" w:eastAsiaTheme="minorEastAsia" w:hAnsi="Times New Roman" w:cs="Times New Roman"/>
          <w:b w:val="0"/>
          <w:bCs w:val="0"/>
          <w:noProof/>
          <w:sz w:val="22"/>
          <w:szCs w:val="22"/>
        </w:rPr>
      </w:pPr>
      <w:r w:rsidRPr="00971EDA">
        <w:rPr>
          <w:rFonts w:ascii="Times New Roman" w:hAnsi="Times New Roman" w:cs="Times New Roman"/>
        </w:rPr>
        <w:fldChar w:fldCharType="end"/>
      </w:r>
      <w:r w:rsidRPr="00971EDA">
        <w:rPr>
          <w:rFonts w:ascii="Times New Roman" w:hAnsi="Times New Roman" w:cs="Times New Roman"/>
        </w:rPr>
        <w:fldChar w:fldCharType="begin"/>
      </w:r>
      <w:r w:rsidRPr="00971EDA">
        <w:rPr>
          <w:rFonts w:ascii="Times New Roman" w:hAnsi="Times New Roman" w:cs="Times New Roman"/>
        </w:rPr>
        <w:instrText xml:space="preserve"> TOA \h \c "2" \p </w:instrText>
      </w:r>
      <w:r w:rsidRPr="00971EDA">
        <w:rPr>
          <w:rFonts w:ascii="Times New Roman" w:hAnsi="Times New Roman" w:cs="Times New Roman"/>
        </w:rPr>
        <w:fldChar w:fldCharType="separate"/>
      </w:r>
      <w:r w:rsidR="00971EDA" w:rsidRPr="00971EDA">
        <w:rPr>
          <w:rFonts w:ascii="Times New Roman" w:hAnsi="Times New Roman" w:cs="Times New Roman"/>
          <w:noProof/>
        </w:rPr>
        <w:t>Statutes</w:t>
      </w:r>
    </w:p>
    <w:p w14:paraId="01C69805"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lastRenderedPageBreak/>
        <w:t>10 V.S.A. § 8504(h)</w:t>
      </w:r>
      <w:r w:rsidRPr="00971EDA">
        <w:rPr>
          <w:rFonts w:ascii="Times New Roman" w:hAnsi="Times New Roman" w:cs="Times New Roman"/>
          <w:noProof/>
        </w:rPr>
        <w:tab/>
        <w:t>9</w:t>
      </w:r>
    </w:p>
    <w:p w14:paraId="3AC2B183"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3 V.S.A. § 801(8)</w:t>
      </w:r>
      <w:r w:rsidRPr="00971EDA">
        <w:rPr>
          <w:rFonts w:ascii="Times New Roman" w:hAnsi="Times New Roman" w:cs="Times New Roman"/>
          <w:noProof/>
        </w:rPr>
        <w:tab/>
        <w:t>22</w:t>
      </w:r>
    </w:p>
    <w:p w14:paraId="5A20C32F"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33 U.S.C. § 1251(a)(2)</w:t>
      </w:r>
      <w:r w:rsidRPr="00971EDA">
        <w:rPr>
          <w:rFonts w:ascii="Times New Roman" w:hAnsi="Times New Roman" w:cs="Times New Roman"/>
          <w:noProof/>
        </w:rPr>
        <w:tab/>
        <w:t>13</w:t>
      </w:r>
    </w:p>
    <w:p w14:paraId="35ECD5B1"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33 U.S.C. § 1313(a)</w:t>
      </w:r>
      <w:r w:rsidRPr="00971EDA">
        <w:rPr>
          <w:rFonts w:ascii="Times New Roman" w:hAnsi="Times New Roman" w:cs="Times New Roman"/>
          <w:noProof/>
        </w:rPr>
        <w:tab/>
        <w:t>13</w:t>
      </w:r>
    </w:p>
    <w:p w14:paraId="59CEA531"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33 U.S.C. § 1313(c)</w:t>
      </w:r>
      <w:r w:rsidRPr="00971EDA">
        <w:rPr>
          <w:rFonts w:ascii="Times New Roman" w:hAnsi="Times New Roman" w:cs="Times New Roman"/>
          <w:noProof/>
        </w:rPr>
        <w:tab/>
        <w:t>13</w:t>
      </w:r>
    </w:p>
    <w:p w14:paraId="67A423F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33 U.S.C. § 1313(c)(2)(A)</w:t>
      </w:r>
      <w:r w:rsidRPr="00971EDA">
        <w:rPr>
          <w:rFonts w:ascii="Times New Roman" w:hAnsi="Times New Roman" w:cs="Times New Roman"/>
          <w:noProof/>
        </w:rPr>
        <w:tab/>
        <w:t>13</w:t>
      </w:r>
    </w:p>
    <w:p w14:paraId="1F057CE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33 U.S.C. § 1313(d)(4)(B)</w:t>
      </w:r>
      <w:r w:rsidRPr="00971EDA">
        <w:rPr>
          <w:rFonts w:ascii="Times New Roman" w:hAnsi="Times New Roman" w:cs="Times New Roman"/>
          <w:noProof/>
        </w:rPr>
        <w:tab/>
        <w:t>13</w:t>
      </w:r>
    </w:p>
    <w:p w14:paraId="3639BBA8" w14:textId="77777777" w:rsidR="00971EDA" w:rsidRPr="00971EDA" w:rsidRDefault="00EA7522">
      <w:pPr>
        <w:pStyle w:val="TOAHeading"/>
        <w:tabs>
          <w:tab w:val="right" w:leader="dot" w:pos="9350"/>
        </w:tabs>
        <w:rPr>
          <w:rFonts w:ascii="Times New Roman" w:eastAsiaTheme="minorEastAsia" w:hAnsi="Times New Roman" w:cs="Times New Roman"/>
          <w:b w:val="0"/>
          <w:bCs w:val="0"/>
          <w:noProof/>
          <w:sz w:val="22"/>
          <w:szCs w:val="22"/>
        </w:rPr>
      </w:pPr>
      <w:r w:rsidRPr="00971EDA">
        <w:rPr>
          <w:rFonts w:ascii="Times New Roman" w:hAnsi="Times New Roman" w:cs="Times New Roman"/>
        </w:rPr>
        <w:fldChar w:fldCharType="end"/>
      </w:r>
      <w:r w:rsidR="005D01D3" w:rsidRPr="00971EDA">
        <w:rPr>
          <w:rFonts w:ascii="Times New Roman" w:hAnsi="Times New Roman" w:cs="Times New Roman"/>
        </w:rPr>
        <w:fldChar w:fldCharType="begin"/>
      </w:r>
      <w:r w:rsidR="005D01D3" w:rsidRPr="00971EDA">
        <w:rPr>
          <w:rFonts w:ascii="Times New Roman" w:hAnsi="Times New Roman" w:cs="Times New Roman"/>
        </w:rPr>
        <w:instrText xml:space="preserve"> TOA \h \c "6" \p </w:instrText>
      </w:r>
      <w:r w:rsidR="005D01D3" w:rsidRPr="00971EDA">
        <w:rPr>
          <w:rFonts w:ascii="Times New Roman" w:hAnsi="Times New Roman" w:cs="Times New Roman"/>
        </w:rPr>
        <w:fldChar w:fldCharType="separate"/>
      </w:r>
      <w:r w:rsidR="00971EDA" w:rsidRPr="00971EDA">
        <w:rPr>
          <w:rFonts w:ascii="Times New Roman" w:hAnsi="Times New Roman" w:cs="Times New Roman"/>
          <w:noProof/>
        </w:rPr>
        <w:t>Regulations</w:t>
      </w:r>
    </w:p>
    <w:p w14:paraId="5FE0F21F"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131.10</w:t>
      </w:r>
      <w:r w:rsidRPr="00971EDA">
        <w:rPr>
          <w:rFonts w:ascii="Times New Roman" w:hAnsi="Times New Roman" w:cs="Times New Roman"/>
          <w:noProof/>
        </w:rPr>
        <w:tab/>
        <w:t>13, 19</w:t>
      </w:r>
    </w:p>
    <w:p w14:paraId="53B58426"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131.10(h)(1)</w:t>
      </w:r>
      <w:r w:rsidRPr="00971EDA">
        <w:rPr>
          <w:rFonts w:ascii="Times New Roman" w:hAnsi="Times New Roman" w:cs="Times New Roman"/>
          <w:noProof/>
        </w:rPr>
        <w:tab/>
        <w:t>18, 21</w:t>
      </w:r>
    </w:p>
    <w:p w14:paraId="759B8D6D"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131.11</w:t>
      </w:r>
      <w:r w:rsidRPr="00971EDA">
        <w:rPr>
          <w:rFonts w:ascii="Times New Roman" w:hAnsi="Times New Roman" w:cs="Times New Roman"/>
          <w:noProof/>
        </w:rPr>
        <w:tab/>
        <w:t>13, 19</w:t>
      </w:r>
    </w:p>
    <w:p w14:paraId="6B8D96D1"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131.11(a)(1)</w:t>
      </w:r>
      <w:r w:rsidRPr="00971EDA">
        <w:rPr>
          <w:rFonts w:ascii="Times New Roman" w:hAnsi="Times New Roman" w:cs="Times New Roman"/>
          <w:noProof/>
        </w:rPr>
        <w:tab/>
        <w:t>18, 20, 21</w:t>
      </w:r>
    </w:p>
    <w:p w14:paraId="31DFB275"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131.12</w:t>
      </w:r>
      <w:r w:rsidRPr="00971EDA">
        <w:rPr>
          <w:rFonts w:ascii="Times New Roman" w:hAnsi="Times New Roman" w:cs="Times New Roman"/>
          <w:noProof/>
        </w:rPr>
        <w:tab/>
        <w:t>13, 19, 20, 21</w:t>
      </w:r>
    </w:p>
    <w:p w14:paraId="6DCE06F2"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131.12(a)(1)</w:t>
      </w:r>
      <w:r w:rsidRPr="00971EDA">
        <w:rPr>
          <w:rFonts w:ascii="Times New Roman" w:hAnsi="Times New Roman" w:cs="Times New Roman"/>
          <w:noProof/>
        </w:rPr>
        <w:tab/>
        <w:t>13, 17, 19</w:t>
      </w:r>
    </w:p>
    <w:p w14:paraId="13ED66F5"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131.12(a)(2)</w:t>
      </w:r>
      <w:r w:rsidRPr="00971EDA">
        <w:rPr>
          <w:rFonts w:ascii="Times New Roman" w:hAnsi="Times New Roman" w:cs="Times New Roman"/>
          <w:noProof/>
        </w:rPr>
        <w:tab/>
        <w:t>19, 20</w:t>
      </w:r>
    </w:p>
    <w:p w14:paraId="15936DFE"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131.12(b)</w:t>
      </w:r>
      <w:r w:rsidRPr="00971EDA">
        <w:rPr>
          <w:rFonts w:ascii="Times New Roman" w:hAnsi="Times New Roman" w:cs="Times New Roman"/>
          <w:noProof/>
        </w:rPr>
        <w:tab/>
        <w:t>14</w:t>
      </w:r>
    </w:p>
    <w:p w14:paraId="53EF6A76"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131.3(c)</w:t>
      </w:r>
      <w:r w:rsidRPr="00971EDA">
        <w:rPr>
          <w:rFonts w:ascii="Times New Roman" w:hAnsi="Times New Roman" w:cs="Times New Roman"/>
          <w:noProof/>
        </w:rPr>
        <w:tab/>
        <w:t>4</w:t>
      </w:r>
    </w:p>
    <w:p w14:paraId="22D40BC2"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131.3(e)</w:t>
      </w:r>
      <w:r w:rsidRPr="00971EDA">
        <w:rPr>
          <w:rFonts w:ascii="Times New Roman" w:hAnsi="Times New Roman" w:cs="Times New Roman"/>
          <w:noProof/>
        </w:rPr>
        <w:tab/>
        <w:t>13</w:t>
      </w:r>
    </w:p>
    <w:p w14:paraId="3BD3D19E"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40 C.F.R. § 131.3(f)</w:t>
      </w:r>
      <w:r w:rsidRPr="00971EDA">
        <w:rPr>
          <w:rFonts w:ascii="Times New Roman" w:hAnsi="Times New Roman" w:cs="Times New Roman"/>
          <w:noProof/>
        </w:rPr>
        <w:tab/>
        <w:t>13</w:t>
      </w:r>
    </w:p>
    <w:p w14:paraId="481D6075"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Vermont Water Quality Standards § 1-01(B)(14)</w:t>
      </w:r>
      <w:r w:rsidRPr="00971EDA">
        <w:rPr>
          <w:rFonts w:ascii="Times New Roman" w:hAnsi="Times New Roman" w:cs="Times New Roman"/>
          <w:noProof/>
        </w:rPr>
        <w:tab/>
        <w:t>13</w:t>
      </w:r>
    </w:p>
    <w:p w14:paraId="2A0A3BFA"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Vermont Water Quality Standards § 1-01(B)(18)</w:t>
      </w:r>
      <w:r w:rsidRPr="00971EDA">
        <w:rPr>
          <w:rFonts w:ascii="Times New Roman" w:hAnsi="Times New Roman" w:cs="Times New Roman"/>
          <w:noProof/>
        </w:rPr>
        <w:tab/>
        <w:t>4</w:t>
      </w:r>
    </w:p>
    <w:p w14:paraId="65ABA6A2"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Vermont Water Quality Standards § 1-02</w:t>
      </w:r>
      <w:r w:rsidRPr="00971EDA">
        <w:rPr>
          <w:rFonts w:ascii="Times New Roman" w:hAnsi="Times New Roman" w:cs="Times New Roman"/>
          <w:noProof/>
        </w:rPr>
        <w:tab/>
        <w:t>13</w:t>
      </w:r>
    </w:p>
    <w:p w14:paraId="05247344"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Vermont Water Quality Standards § 1-03(B)(1)(c)</w:t>
      </w:r>
      <w:r w:rsidRPr="00971EDA">
        <w:rPr>
          <w:rFonts w:ascii="Times New Roman" w:hAnsi="Times New Roman" w:cs="Times New Roman"/>
          <w:noProof/>
        </w:rPr>
        <w:tab/>
        <w:t>14</w:t>
      </w:r>
    </w:p>
    <w:p w14:paraId="6266A615"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lastRenderedPageBreak/>
        <w:t>Vermont Water Quality Standards § 1-03(C)(1)</w:t>
      </w:r>
      <w:r w:rsidRPr="00971EDA">
        <w:rPr>
          <w:rFonts w:ascii="Times New Roman" w:hAnsi="Times New Roman" w:cs="Times New Roman"/>
          <w:noProof/>
        </w:rPr>
        <w:tab/>
        <w:t>14</w:t>
      </w:r>
    </w:p>
    <w:p w14:paraId="16FE5E2E"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Vermont Water Quality Standards § 3-04</w:t>
      </w:r>
      <w:r w:rsidRPr="00971EDA">
        <w:rPr>
          <w:rFonts w:ascii="Times New Roman" w:hAnsi="Times New Roman" w:cs="Times New Roman"/>
          <w:noProof/>
        </w:rPr>
        <w:tab/>
        <w:t>13</w:t>
      </w:r>
    </w:p>
    <w:p w14:paraId="77BCB3D2" w14:textId="77777777" w:rsidR="00971EDA" w:rsidRPr="00971EDA" w:rsidRDefault="005D01D3">
      <w:pPr>
        <w:pStyle w:val="TOAHeading"/>
        <w:tabs>
          <w:tab w:val="right" w:leader="dot" w:pos="9350"/>
        </w:tabs>
        <w:rPr>
          <w:rFonts w:ascii="Times New Roman" w:eastAsiaTheme="minorEastAsia" w:hAnsi="Times New Roman" w:cs="Times New Roman"/>
          <w:b w:val="0"/>
          <w:bCs w:val="0"/>
          <w:noProof/>
          <w:sz w:val="22"/>
          <w:szCs w:val="22"/>
        </w:rPr>
      </w:pPr>
      <w:r w:rsidRPr="00971EDA">
        <w:rPr>
          <w:rFonts w:ascii="Times New Roman" w:hAnsi="Times New Roman" w:cs="Times New Roman"/>
        </w:rPr>
        <w:fldChar w:fldCharType="end"/>
      </w:r>
      <w:r w:rsidRPr="00971EDA">
        <w:rPr>
          <w:rFonts w:ascii="Times New Roman" w:hAnsi="Times New Roman" w:cs="Times New Roman"/>
        </w:rPr>
        <w:fldChar w:fldCharType="begin"/>
      </w:r>
      <w:r w:rsidRPr="00971EDA">
        <w:rPr>
          <w:rFonts w:ascii="Times New Roman" w:hAnsi="Times New Roman" w:cs="Times New Roman"/>
        </w:rPr>
        <w:instrText xml:space="preserve"> TOA \h \c "3" \p </w:instrText>
      </w:r>
      <w:r w:rsidRPr="00971EDA">
        <w:rPr>
          <w:rFonts w:ascii="Times New Roman" w:hAnsi="Times New Roman" w:cs="Times New Roman"/>
        </w:rPr>
        <w:fldChar w:fldCharType="separate"/>
      </w:r>
      <w:r w:rsidR="00971EDA" w:rsidRPr="00971EDA">
        <w:rPr>
          <w:rFonts w:ascii="Times New Roman" w:hAnsi="Times New Roman" w:cs="Times New Roman"/>
          <w:noProof/>
        </w:rPr>
        <w:t>Other Authorities</w:t>
      </w:r>
    </w:p>
    <w:p w14:paraId="1D4B6AAA"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ANR Interim Anti-Degradation Implementation Procedure, October 12, 2010</w:t>
      </w:r>
      <w:r w:rsidRPr="00971EDA">
        <w:rPr>
          <w:rFonts w:ascii="Times New Roman" w:hAnsi="Times New Roman" w:cs="Times New Roman"/>
          <w:noProof/>
        </w:rPr>
        <w:tab/>
        <w:t>14</w:t>
      </w:r>
    </w:p>
    <w:p w14:paraId="7147BA78" w14:textId="77777777" w:rsidR="00971EDA" w:rsidRPr="00971EDA" w:rsidRDefault="00971EDA">
      <w:pPr>
        <w:pStyle w:val="TableofAuthorities"/>
        <w:tabs>
          <w:tab w:val="right" w:leader="dot" w:pos="9350"/>
        </w:tabs>
        <w:rPr>
          <w:rFonts w:ascii="Times New Roman" w:hAnsi="Times New Roman" w:cs="Times New Roman"/>
          <w:noProof/>
        </w:rPr>
      </w:pPr>
      <w:r w:rsidRPr="00971EDA">
        <w:rPr>
          <w:rFonts w:ascii="Times New Roman" w:hAnsi="Times New Roman" w:cs="Times New Roman"/>
          <w:noProof/>
        </w:rPr>
        <w:t>EPA Water Quality Standards Handbook (2012)</w:t>
      </w:r>
      <w:r w:rsidRPr="00971EDA">
        <w:rPr>
          <w:rFonts w:ascii="Times New Roman" w:hAnsi="Times New Roman" w:cs="Times New Roman"/>
          <w:noProof/>
        </w:rPr>
        <w:tab/>
        <w:t>14, 17</w:t>
      </w:r>
    </w:p>
    <w:p w14:paraId="034196D3" w14:textId="700B2CA5" w:rsidR="005D01D3" w:rsidRPr="008F07F2" w:rsidRDefault="005D01D3" w:rsidP="005D01D3">
      <w:pPr>
        <w:pStyle w:val="TOAHeading"/>
        <w:tabs>
          <w:tab w:val="right" w:leader="dot" w:pos="9350"/>
        </w:tabs>
        <w:rPr>
          <w:rFonts w:ascii="Times New Roman" w:hAnsi="Times New Roman" w:cs="Times New Roman"/>
        </w:rPr>
      </w:pPr>
      <w:r w:rsidRPr="00971EDA">
        <w:rPr>
          <w:rFonts w:ascii="Times New Roman" w:hAnsi="Times New Roman" w:cs="Times New Roman"/>
        </w:rPr>
        <w:fldChar w:fldCharType="end"/>
      </w:r>
      <w:r w:rsidRPr="008F07F2">
        <w:rPr>
          <w:rFonts w:ascii="Times New Roman" w:hAnsi="Times New Roman" w:cs="Times New Roman"/>
        </w:rPr>
        <w:t xml:space="preserve"> </w:t>
      </w:r>
    </w:p>
    <w:p w14:paraId="0643CC89" w14:textId="77777777" w:rsidR="00266CF2" w:rsidRPr="008F07F2" w:rsidRDefault="00266CF2" w:rsidP="00266CF2">
      <w:pPr>
        <w:pStyle w:val="TOAHeading"/>
        <w:tabs>
          <w:tab w:val="right" w:leader="dot" w:pos="9350"/>
        </w:tabs>
        <w:rPr>
          <w:rFonts w:ascii="Times New Roman" w:hAnsi="Times New Roman" w:cs="Times New Roman"/>
        </w:rPr>
        <w:sectPr w:rsidR="00266CF2" w:rsidRPr="008F07F2" w:rsidSect="00266CF2">
          <w:pgSz w:w="12240" w:h="15840"/>
          <w:pgMar w:top="1440" w:right="1440" w:bottom="1440" w:left="1440" w:header="720" w:footer="720" w:gutter="0"/>
          <w:pgNumType w:fmt="lowerRoman"/>
          <w:cols w:space="720"/>
          <w:docGrid w:linePitch="326"/>
        </w:sectPr>
      </w:pPr>
    </w:p>
    <w:p w14:paraId="720A59DE" w14:textId="77777777" w:rsidR="000E5CB8" w:rsidRPr="008F07F2" w:rsidRDefault="000E5CB8" w:rsidP="00266CF2">
      <w:pPr>
        <w:pStyle w:val="Heading1"/>
        <w:rPr>
          <w:rFonts w:ascii="Times New Roman" w:hAnsi="Times New Roman" w:cs="Times New Roman"/>
        </w:rPr>
      </w:pPr>
      <w:bookmarkStart w:id="1" w:name="_Toc535838867"/>
      <w:r w:rsidRPr="008F07F2">
        <w:rPr>
          <w:rFonts w:ascii="Times New Roman" w:hAnsi="Times New Roman" w:cs="Times New Roman"/>
        </w:rPr>
        <w:lastRenderedPageBreak/>
        <w:t>STATEMENT OF THE CASE</w:t>
      </w:r>
      <w:bookmarkEnd w:id="1"/>
    </w:p>
    <w:p w14:paraId="12269007" w14:textId="64A88955" w:rsidR="001A4488" w:rsidRPr="008F07F2" w:rsidRDefault="000E5CB8" w:rsidP="003D51EB">
      <w:pPr>
        <w:rPr>
          <w:rFonts w:ascii="Times New Roman" w:hAnsi="Times New Roman" w:cs="Times New Roman"/>
        </w:rPr>
      </w:pPr>
      <w:r w:rsidRPr="008F07F2">
        <w:rPr>
          <w:rFonts w:ascii="Times New Roman" w:hAnsi="Times New Roman" w:cs="Times New Roman"/>
        </w:rPr>
        <w:t>The present appeal involves a determination of what conditions, if any, should attach to a Water Quality Certification issued by the Vermont</w:t>
      </w:r>
      <w:r w:rsidR="006D068D" w:rsidRPr="008F07F2">
        <w:rPr>
          <w:rFonts w:ascii="Times New Roman" w:hAnsi="Times New Roman" w:cs="Times New Roman"/>
        </w:rPr>
        <w:t xml:space="preserve"> Agency of Natural Resources</w:t>
      </w:r>
      <w:r w:rsidR="00CC4BAD">
        <w:rPr>
          <w:rFonts w:ascii="Times New Roman" w:hAnsi="Times New Roman" w:cs="Times New Roman"/>
        </w:rPr>
        <w:t xml:space="preserve"> (“ANR”)</w:t>
      </w:r>
      <w:r w:rsidR="006D068D" w:rsidRPr="008F07F2">
        <w:rPr>
          <w:rFonts w:ascii="Times New Roman" w:hAnsi="Times New Roman" w:cs="Times New Roman"/>
        </w:rPr>
        <w:t xml:space="preserve"> </w:t>
      </w:r>
      <w:r w:rsidRPr="008F07F2">
        <w:rPr>
          <w:rFonts w:ascii="Times New Roman" w:hAnsi="Times New Roman" w:cs="Times New Roman"/>
        </w:rPr>
        <w:t>pursuant to the federal Clean Water Act for a set of hydroelectric power generating dams on the Green and Lamoille Rivers</w:t>
      </w:r>
      <w:r w:rsidR="006D068D" w:rsidRPr="008F07F2">
        <w:rPr>
          <w:rFonts w:ascii="Times New Roman" w:hAnsi="Times New Roman" w:cs="Times New Roman"/>
        </w:rPr>
        <w:t xml:space="preserve">. </w:t>
      </w:r>
      <w:r w:rsidR="0042658A" w:rsidRPr="008F07F2">
        <w:rPr>
          <w:rFonts w:ascii="Times New Roman" w:hAnsi="Times New Roman" w:cs="Times New Roman"/>
        </w:rPr>
        <w:t xml:space="preserve"> </w:t>
      </w:r>
    </w:p>
    <w:p w14:paraId="6C7026F2" w14:textId="2D566F87" w:rsidR="006D068D" w:rsidRPr="008F07F2" w:rsidRDefault="00CC4BAD" w:rsidP="003D51EB">
      <w:pPr>
        <w:rPr>
          <w:rFonts w:ascii="Times New Roman" w:hAnsi="Times New Roman" w:cs="Times New Roman"/>
        </w:rPr>
      </w:pPr>
      <w:r>
        <w:rPr>
          <w:rFonts w:ascii="Times New Roman" w:hAnsi="Times New Roman" w:cs="Times New Roman"/>
        </w:rPr>
        <w:t>In 2016, ANR</w:t>
      </w:r>
      <w:r w:rsidR="0042658A" w:rsidRPr="008F07F2">
        <w:rPr>
          <w:rFonts w:ascii="Times New Roman" w:hAnsi="Times New Roman" w:cs="Times New Roman"/>
        </w:rPr>
        <w:t xml:space="preserve"> issued a</w:t>
      </w:r>
      <w:r w:rsidR="006D068D" w:rsidRPr="008F07F2">
        <w:rPr>
          <w:rFonts w:ascii="Times New Roman" w:hAnsi="Times New Roman" w:cs="Times New Roman"/>
        </w:rPr>
        <w:t xml:space="preserve"> </w:t>
      </w:r>
      <w:r>
        <w:rPr>
          <w:rFonts w:ascii="Times New Roman" w:hAnsi="Times New Roman" w:cs="Times New Roman"/>
        </w:rPr>
        <w:t xml:space="preserve">Water Quality </w:t>
      </w:r>
      <w:r w:rsidR="006D068D" w:rsidRPr="008F07F2">
        <w:rPr>
          <w:rFonts w:ascii="Times New Roman" w:hAnsi="Times New Roman" w:cs="Times New Roman"/>
        </w:rPr>
        <w:t>Certification</w:t>
      </w:r>
      <w:r w:rsidR="0042658A" w:rsidRPr="008F07F2">
        <w:rPr>
          <w:rFonts w:ascii="Times New Roman" w:hAnsi="Times New Roman" w:cs="Times New Roman"/>
        </w:rPr>
        <w:t xml:space="preserve"> which</w:t>
      </w:r>
      <w:r w:rsidR="006D068D" w:rsidRPr="008F07F2">
        <w:rPr>
          <w:rFonts w:ascii="Times New Roman" w:hAnsi="Times New Roman" w:cs="Times New Roman"/>
        </w:rPr>
        <w:t xml:space="preserve"> </w:t>
      </w:r>
      <w:r>
        <w:rPr>
          <w:rFonts w:ascii="Times New Roman" w:hAnsi="Times New Roman" w:cs="Times New Roman"/>
        </w:rPr>
        <w:t>assumed</w:t>
      </w:r>
      <w:r w:rsidR="0042658A" w:rsidRPr="008F07F2">
        <w:rPr>
          <w:rFonts w:ascii="Times New Roman" w:hAnsi="Times New Roman" w:cs="Times New Roman"/>
        </w:rPr>
        <w:t xml:space="preserve"> that</w:t>
      </w:r>
      <w:r w:rsidR="006D068D" w:rsidRPr="008F07F2">
        <w:rPr>
          <w:rFonts w:ascii="Times New Roman" w:hAnsi="Times New Roman" w:cs="Times New Roman"/>
        </w:rPr>
        <w:t xml:space="preserve"> whitewater boating </w:t>
      </w:r>
      <w:r>
        <w:rPr>
          <w:rFonts w:ascii="Times New Roman" w:hAnsi="Times New Roman" w:cs="Times New Roman"/>
        </w:rPr>
        <w:t>wa</w:t>
      </w:r>
      <w:r w:rsidR="0042658A" w:rsidRPr="008F07F2">
        <w:rPr>
          <w:rFonts w:ascii="Times New Roman" w:hAnsi="Times New Roman" w:cs="Times New Roman"/>
        </w:rPr>
        <w:t>s not</w:t>
      </w:r>
      <w:r>
        <w:rPr>
          <w:rFonts w:ascii="Times New Roman" w:hAnsi="Times New Roman" w:cs="Times New Roman"/>
        </w:rPr>
        <w:t xml:space="preserve"> an existing use.  As a result, the Water Quality Certification</w:t>
      </w:r>
      <w:r w:rsidR="006D068D" w:rsidRPr="008F07F2">
        <w:rPr>
          <w:rFonts w:ascii="Times New Roman" w:hAnsi="Times New Roman" w:cs="Times New Roman"/>
        </w:rPr>
        <w:t xml:space="preserve"> </w:t>
      </w:r>
      <w:r>
        <w:rPr>
          <w:rFonts w:ascii="Times New Roman" w:hAnsi="Times New Roman" w:cs="Times New Roman"/>
        </w:rPr>
        <w:t>failed</w:t>
      </w:r>
      <w:r w:rsidR="0042658A" w:rsidRPr="008F07F2">
        <w:rPr>
          <w:rFonts w:ascii="Times New Roman" w:hAnsi="Times New Roman" w:cs="Times New Roman"/>
        </w:rPr>
        <w:t xml:space="preserve"> to analyze how that use </w:t>
      </w:r>
      <w:r w:rsidR="001A4488" w:rsidRPr="008F07F2">
        <w:rPr>
          <w:rFonts w:ascii="Times New Roman" w:hAnsi="Times New Roman" w:cs="Times New Roman"/>
        </w:rPr>
        <w:t>can</w:t>
      </w:r>
      <w:r w:rsidR="0042658A" w:rsidRPr="008F07F2">
        <w:rPr>
          <w:rFonts w:ascii="Times New Roman" w:hAnsi="Times New Roman" w:cs="Times New Roman"/>
        </w:rPr>
        <w:t xml:space="preserve"> be maintained and protected</w:t>
      </w:r>
      <w:r>
        <w:rPr>
          <w:rFonts w:ascii="Times New Roman" w:hAnsi="Times New Roman" w:cs="Times New Roman"/>
        </w:rPr>
        <w:t xml:space="preserve">.  Instead, </w:t>
      </w:r>
      <w:proofErr w:type="gramStart"/>
      <w:r>
        <w:rPr>
          <w:rFonts w:ascii="Times New Roman" w:hAnsi="Times New Roman" w:cs="Times New Roman"/>
        </w:rPr>
        <w:t>it</w:t>
      </w:r>
      <w:proofErr w:type="gramEnd"/>
      <w:r w:rsidR="006D068D" w:rsidRPr="008F07F2">
        <w:rPr>
          <w:rFonts w:ascii="Times New Roman" w:hAnsi="Times New Roman" w:cs="Times New Roman"/>
        </w:rPr>
        <w:t xml:space="preserve"> mandate</w:t>
      </w:r>
      <w:r>
        <w:rPr>
          <w:rFonts w:ascii="Times New Roman" w:hAnsi="Times New Roman" w:cs="Times New Roman"/>
        </w:rPr>
        <w:t>d</w:t>
      </w:r>
      <w:r w:rsidR="006D068D" w:rsidRPr="008F07F2">
        <w:rPr>
          <w:rFonts w:ascii="Times New Roman" w:hAnsi="Times New Roman" w:cs="Times New Roman"/>
        </w:rPr>
        <w:t xml:space="preserve"> cond</w:t>
      </w:r>
      <w:r>
        <w:rPr>
          <w:rFonts w:ascii="Times New Roman" w:hAnsi="Times New Roman" w:cs="Times New Roman"/>
        </w:rPr>
        <w:t xml:space="preserve">itions that if implemented would </w:t>
      </w:r>
      <w:r w:rsidR="001A4488" w:rsidRPr="008F07F2">
        <w:rPr>
          <w:rFonts w:ascii="Times New Roman" w:hAnsi="Times New Roman" w:cs="Times New Roman"/>
        </w:rPr>
        <w:t>dramatically reduce</w:t>
      </w:r>
      <w:r w:rsidR="006D068D" w:rsidRPr="008F07F2">
        <w:rPr>
          <w:rFonts w:ascii="Times New Roman" w:hAnsi="Times New Roman" w:cs="Times New Roman"/>
        </w:rPr>
        <w:t xml:space="preserve"> whitewater boating opportunit</w:t>
      </w:r>
      <w:r w:rsidR="0042658A" w:rsidRPr="008F07F2">
        <w:rPr>
          <w:rFonts w:ascii="Times New Roman" w:hAnsi="Times New Roman" w:cs="Times New Roman"/>
        </w:rPr>
        <w:t>ies</w:t>
      </w:r>
      <w:r w:rsidR="006D068D" w:rsidRPr="008F07F2">
        <w:rPr>
          <w:rFonts w:ascii="Times New Roman" w:hAnsi="Times New Roman" w:cs="Times New Roman"/>
        </w:rPr>
        <w:t xml:space="preserve"> by limiting naturally occurring whitewater high flows and prohibiting scheduled releases.</w:t>
      </w:r>
      <w:r w:rsidR="0042658A" w:rsidRPr="008F07F2">
        <w:rPr>
          <w:rFonts w:ascii="Times New Roman" w:hAnsi="Times New Roman" w:cs="Times New Roman"/>
        </w:rPr>
        <w:t xml:space="preserve">  Following a de novo trial</w:t>
      </w:r>
      <w:r w:rsidR="001A4488" w:rsidRPr="008F07F2">
        <w:rPr>
          <w:rFonts w:ascii="Times New Roman" w:hAnsi="Times New Roman" w:cs="Times New Roman"/>
        </w:rPr>
        <w:t xml:space="preserve"> on appeal to the Environmental Division of the Superior Court</w:t>
      </w:r>
      <w:r w:rsidR="0042658A" w:rsidRPr="008F07F2">
        <w:rPr>
          <w:rFonts w:ascii="Times New Roman" w:hAnsi="Times New Roman" w:cs="Times New Roman"/>
        </w:rPr>
        <w:t>, the Court concluded that whitewater boating, including on scheduled releases, is</w:t>
      </w:r>
      <w:r>
        <w:rPr>
          <w:rFonts w:ascii="Times New Roman" w:hAnsi="Times New Roman" w:cs="Times New Roman"/>
        </w:rPr>
        <w:t xml:space="preserve"> in fact</w:t>
      </w:r>
      <w:r w:rsidR="0042658A" w:rsidRPr="008F07F2">
        <w:rPr>
          <w:rFonts w:ascii="Times New Roman" w:hAnsi="Times New Roman" w:cs="Times New Roman"/>
        </w:rPr>
        <w:t xml:space="preserve"> a longstanding existing </w:t>
      </w:r>
      <w:r>
        <w:rPr>
          <w:rFonts w:ascii="Times New Roman" w:hAnsi="Times New Roman" w:cs="Times New Roman"/>
        </w:rPr>
        <w:t>use on the Green River.  This determination was based on the overwhelming evidence of whitewater boating and ANR’s own guidance documents, which supported the conclusion that whitewater boating was an existing use.  The Court also found</w:t>
      </w:r>
      <w:r w:rsidR="0042658A" w:rsidRPr="008F07F2">
        <w:rPr>
          <w:rFonts w:ascii="Times New Roman" w:hAnsi="Times New Roman" w:cs="Times New Roman"/>
        </w:rPr>
        <w:t xml:space="preserve"> </w:t>
      </w:r>
      <w:r w:rsidR="001A4488" w:rsidRPr="008F07F2">
        <w:rPr>
          <w:rFonts w:ascii="Times New Roman" w:hAnsi="Times New Roman" w:cs="Times New Roman"/>
        </w:rPr>
        <w:t>that no evidence was offered</w:t>
      </w:r>
      <w:r w:rsidR="004F02AF">
        <w:rPr>
          <w:rFonts w:ascii="Times New Roman" w:hAnsi="Times New Roman" w:cs="Times New Roman"/>
        </w:rPr>
        <w:t>,</w:t>
      </w:r>
      <w:r>
        <w:rPr>
          <w:rFonts w:ascii="Times New Roman" w:hAnsi="Times New Roman" w:cs="Times New Roman"/>
        </w:rPr>
        <w:t xml:space="preserve"> at any level of this process</w:t>
      </w:r>
      <w:r w:rsidR="004F02AF">
        <w:rPr>
          <w:rFonts w:ascii="Times New Roman" w:hAnsi="Times New Roman" w:cs="Times New Roman"/>
        </w:rPr>
        <w:t>,</w:t>
      </w:r>
      <w:r>
        <w:rPr>
          <w:rFonts w:ascii="Times New Roman" w:hAnsi="Times New Roman" w:cs="Times New Roman"/>
        </w:rPr>
        <w:t xml:space="preserve"> by any party</w:t>
      </w:r>
      <w:r w:rsidR="004F02AF">
        <w:rPr>
          <w:rFonts w:ascii="Times New Roman" w:hAnsi="Times New Roman" w:cs="Times New Roman"/>
        </w:rPr>
        <w:t>,</w:t>
      </w:r>
      <w:r w:rsidR="001A4488" w:rsidRPr="008F07F2">
        <w:rPr>
          <w:rFonts w:ascii="Times New Roman" w:hAnsi="Times New Roman" w:cs="Times New Roman"/>
        </w:rPr>
        <w:t xml:space="preserve"> to show that well-timed releases of water from the dam will have a detrimental impact on the river ecology</w:t>
      </w:r>
      <w:r w:rsidR="004F02AF">
        <w:rPr>
          <w:rFonts w:ascii="Times New Roman" w:hAnsi="Times New Roman" w:cs="Times New Roman"/>
        </w:rPr>
        <w:t xml:space="preserve">.  Finally, the Court found </w:t>
      </w:r>
      <w:r w:rsidR="001A4488" w:rsidRPr="008F07F2">
        <w:rPr>
          <w:rFonts w:ascii="Times New Roman" w:hAnsi="Times New Roman" w:cs="Times New Roman"/>
        </w:rPr>
        <w:t xml:space="preserve">that </w:t>
      </w:r>
      <w:r w:rsidR="00436B89">
        <w:rPr>
          <w:rFonts w:ascii="Times New Roman" w:hAnsi="Times New Roman" w:cs="Times New Roman"/>
        </w:rPr>
        <w:t>ANR</w:t>
      </w:r>
      <w:r w:rsidR="001A4488" w:rsidRPr="008F07F2">
        <w:rPr>
          <w:rFonts w:ascii="Times New Roman" w:hAnsi="Times New Roman" w:cs="Times New Roman"/>
        </w:rPr>
        <w:t xml:space="preserve">’s arguments for limiting whitewater boating </w:t>
      </w:r>
      <w:r w:rsidR="004F02AF">
        <w:rPr>
          <w:rFonts w:ascii="Times New Roman" w:hAnsi="Times New Roman" w:cs="Times New Roman"/>
        </w:rPr>
        <w:t>we</w:t>
      </w:r>
      <w:r w:rsidR="001A4488" w:rsidRPr="008F07F2">
        <w:rPr>
          <w:rFonts w:ascii="Times New Roman" w:hAnsi="Times New Roman" w:cs="Times New Roman"/>
        </w:rPr>
        <w:t xml:space="preserve">re inconsistent with relevant </w:t>
      </w:r>
      <w:r w:rsidR="004F02AF">
        <w:rPr>
          <w:rFonts w:ascii="Times New Roman" w:hAnsi="Times New Roman" w:cs="Times New Roman"/>
        </w:rPr>
        <w:t>policies and regulations within ANR and at the federal level.  They we</w:t>
      </w:r>
      <w:r w:rsidR="001A4488" w:rsidRPr="008F07F2">
        <w:rPr>
          <w:rFonts w:ascii="Times New Roman" w:hAnsi="Times New Roman" w:cs="Times New Roman"/>
        </w:rPr>
        <w:t>re</w:t>
      </w:r>
      <w:r w:rsidR="004F02AF">
        <w:rPr>
          <w:rFonts w:ascii="Times New Roman" w:hAnsi="Times New Roman" w:cs="Times New Roman"/>
        </w:rPr>
        <w:t>,</w:t>
      </w:r>
      <w:r w:rsidR="00D42028">
        <w:rPr>
          <w:rFonts w:ascii="Times New Roman" w:hAnsi="Times New Roman" w:cs="Times New Roman"/>
        </w:rPr>
        <w:t xml:space="preserve"> therefore</w:t>
      </w:r>
      <w:r w:rsidR="004F02AF">
        <w:rPr>
          <w:rFonts w:ascii="Times New Roman" w:hAnsi="Times New Roman" w:cs="Times New Roman"/>
        </w:rPr>
        <w:t>,</w:t>
      </w:r>
      <w:r w:rsidR="00D42028">
        <w:rPr>
          <w:rFonts w:ascii="Times New Roman" w:hAnsi="Times New Roman" w:cs="Times New Roman"/>
        </w:rPr>
        <w:t xml:space="preserve"> </w:t>
      </w:r>
      <w:r w:rsidR="001A4488" w:rsidRPr="008F07F2">
        <w:rPr>
          <w:rFonts w:ascii="Times New Roman" w:hAnsi="Times New Roman" w:cs="Times New Roman"/>
        </w:rPr>
        <w:t>not entitled to deference.  The Court found that three scheduled whitewater boating releases lasting a duration of six hours each would protect existing whitewater uses, would be consistent with current practices, and would not cause any degradation to the River, and ordered such releases be allowed.  This appeal followed.</w:t>
      </w:r>
    </w:p>
    <w:p w14:paraId="2592F9EB" w14:textId="2EF38767" w:rsidR="00391EA3" w:rsidRPr="008F07F2" w:rsidRDefault="001A4488" w:rsidP="003D51EB">
      <w:pPr>
        <w:rPr>
          <w:rFonts w:ascii="Times New Roman" w:hAnsi="Times New Roman" w:cs="Times New Roman"/>
        </w:rPr>
      </w:pPr>
      <w:r w:rsidRPr="008F07F2">
        <w:rPr>
          <w:rFonts w:ascii="Times New Roman" w:hAnsi="Times New Roman" w:cs="Times New Roman"/>
        </w:rPr>
        <w:lastRenderedPageBreak/>
        <w:t xml:space="preserve">While </w:t>
      </w:r>
      <w:r w:rsidR="00FD0690" w:rsidRPr="008F07F2">
        <w:rPr>
          <w:rFonts w:ascii="Times New Roman" w:hAnsi="Times New Roman" w:cs="Times New Roman"/>
        </w:rPr>
        <w:t>now conceding</w:t>
      </w:r>
      <w:r w:rsidRPr="008F07F2">
        <w:rPr>
          <w:rFonts w:ascii="Times New Roman" w:hAnsi="Times New Roman" w:cs="Times New Roman"/>
        </w:rPr>
        <w:t xml:space="preserve"> that whitewater boating on the Green River is an existing use, </w:t>
      </w:r>
      <w:r w:rsidR="00436B89">
        <w:rPr>
          <w:rFonts w:ascii="Times New Roman" w:hAnsi="Times New Roman" w:cs="Times New Roman"/>
        </w:rPr>
        <w:t>ANR</w:t>
      </w:r>
      <w:r w:rsidR="00FD0690" w:rsidRPr="008F07F2">
        <w:rPr>
          <w:rFonts w:ascii="Times New Roman" w:hAnsi="Times New Roman" w:cs="Times New Roman"/>
        </w:rPr>
        <w:t xml:space="preserve"> maintains the untenable position</w:t>
      </w:r>
      <w:r w:rsidR="00D42028">
        <w:rPr>
          <w:rFonts w:ascii="Times New Roman" w:hAnsi="Times New Roman" w:cs="Times New Roman"/>
        </w:rPr>
        <w:t>s</w:t>
      </w:r>
      <w:r w:rsidR="00FD0690" w:rsidRPr="008F07F2">
        <w:rPr>
          <w:rFonts w:ascii="Times New Roman" w:hAnsi="Times New Roman" w:cs="Times New Roman"/>
        </w:rPr>
        <w:t xml:space="preserve"> that whitewater boating need not be protected</w:t>
      </w:r>
      <w:r w:rsidR="00D42028">
        <w:rPr>
          <w:rFonts w:ascii="Times New Roman" w:hAnsi="Times New Roman" w:cs="Times New Roman"/>
        </w:rPr>
        <w:t xml:space="preserve"> and that the use should be bifurcated from its historical scheduled releases</w:t>
      </w:r>
      <w:r w:rsidR="00FD0690" w:rsidRPr="008F07F2">
        <w:rPr>
          <w:rFonts w:ascii="Times New Roman" w:hAnsi="Times New Roman" w:cs="Times New Roman"/>
        </w:rPr>
        <w:t>.</w:t>
      </w:r>
      <w:r w:rsidR="00FD0690" w:rsidRPr="008F07F2">
        <w:rPr>
          <w:rFonts w:ascii="Times New Roman" w:hAnsi="Times New Roman" w:cs="Times New Roman"/>
          <w:vertAlign w:val="superscript"/>
        </w:rPr>
        <w:footnoteReference w:id="1"/>
      </w:r>
      <w:r w:rsidR="00FD0690" w:rsidRPr="008F07F2">
        <w:rPr>
          <w:rFonts w:ascii="Times New Roman" w:hAnsi="Times New Roman" w:cs="Times New Roman"/>
        </w:rPr>
        <w:t xml:space="preserve">  </w:t>
      </w:r>
      <w:r w:rsidRPr="008F07F2">
        <w:rPr>
          <w:rFonts w:ascii="Times New Roman" w:hAnsi="Times New Roman" w:cs="Times New Roman"/>
        </w:rPr>
        <w:t xml:space="preserve">This position rests on a misconstruction of the Clean Water Act, federal regulations that implement it, corresponding state regulations, and </w:t>
      </w:r>
      <w:r w:rsidR="00436B89">
        <w:rPr>
          <w:rFonts w:ascii="Times New Roman" w:hAnsi="Times New Roman" w:cs="Times New Roman"/>
        </w:rPr>
        <w:t>ANR</w:t>
      </w:r>
      <w:r w:rsidRPr="008F07F2">
        <w:rPr>
          <w:rFonts w:ascii="Times New Roman" w:hAnsi="Times New Roman" w:cs="Times New Roman"/>
        </w:rPr>
        <w:t xml:space="preserve">’s own policies and procedures.  </w:t>
      </w:r>
    </w:p>
    <w:p w14:paraId="128A6458" w14:textId="77777777" w:rsidR="000E5CB8" w:rsidRPr="008F07F2" w:rsidRDefault="003D51EB" w:rsidP="003D51EB">
      <w:pPr>
        <w:pStyle w:val="Heading1"/>
        <w:rPr>
          <w:rFonts w:ascii="Times New Roman" w:hAnsi="Times New Roman" w:cs="Times New Roman"/>
        </w:rPr>
      </w:pPr>
      <w:bookmarkStart w:id="2" w:name="_Toc535838868"/>
      <w:r w:rsidRPr="008F07F2">
        <w:rPr>
          <w:rFonts w:ascii="Times New Roman" w:hAnsi="Times New Roman" w:cs="Times New Roman"/>
        </w:rPr>
        <w:t>BACKGROUND</w:t>
      </w:r>
      <w:bookmarkEnd w:id="2"/>
    </w:p>
    <w:p w14:paraId="623851BE" w14:textId="7825750C" w:rsidR="000E5CB8" w:rsidRPr="008F07F2" w:rsidRDefault="000E5CB8" w:rsidP="003D51EB">
      <w:pPr>
        <w:rPr>
          <w:rFonts w:ascii="Times New Roman" w:hAnsi="Times New Roman" w:cs="Times New Roman"/>
        </w:rPr>
      </w:pPr>
      <w:r w:rsidRPr="008F07F2">
        <w:rPr>
          <w:rFonts w:ascii="Times New Roman" w:hAnsi="Times New Roman" w:cs="Times New Roman"/>
        </w:rPr>
        <w:t>Prior to the 19</w:t>
      </w:r>
      <w:r w:rsidR="00FD0690" w:rsidRPr="008F07F2">
        <w:rPr>
          <w:rFonts w:ascii="Times New Roman" w:hAnsi="Times New Roman" w:cs="Times New Roman"/>
        </w:rPr>
        <w:t>4</w:t>
      </w:r>
      <w:r w:rsidRPr="008F07F2">
        <w:rPr>
          <w:rFonts w:ascii="Times New Roman" w:hAnsi="Times New Roman" w:cs="Times New Roman"/>
        </w:rPr>
        <w:t xml:space="preserve">0s, the Green River ran unimpeded.  The river’s natural flow involved increased flows </w:t>
      </w:r>
      <w:r w:rsidR="00FD0690" w:rsidRPr="008F07F2">
        <w:rPr>
          <w:rFonts w:ascii="Times New Roman" w:hAnsi="Times New Roman" w:cs="Times New Roman"/>
        </w:rPr>
        <w:t>during the spring freshet from snowmelt and rainfall followed by periodic variable flows due to rainfall</w:t>
      </w:r>
      <w:r w:rsidRPr="008F07F2">
        <w:rPr>
          <w:rFonts w:ascii="Times New Roman" w:hAnsi="Times New Roman" w:cs="Times New Roman"/>
        </w:rPr>
        <w:t xml:space="preserve">.  This natural flow was interrupted, and the </w:t>
      </w:r>
      <w:r w:rsidR="00D42028">
        <w:rPr>
          <w:rFonts w:ascii="Times New Roman" w:hAnsi="Times New Roman" w:cs="Times New Roman"/>
        </w:rPr>
        <w:t xml:space="preserve">popular </w:t>
      </w:r>
      <w:r w:rsidRPr="008F07F2">
        <w:rPr>
          <w:rFonts w:ascii="Times New Roman" w:hAnsi="Times New Roman" w:cs="Times New Roman"/>
        </w:rPr>
        <w:t>Green River Reservoir created, when the Green River facility was built in 1947 and hydroelectric generation capacity added in 1984</w:t>
      </w:r>
      <w:r w:rsidR="00BC3162" w:rsidRPr="008F07F2">
        <w:rPr>
          <w:rFonts w:ascii="Times New Roman" w:hAnsi="Times New Roman" w:cs="Times New Roman"/>
        </w:rPr>
        <w:t xml:space="preserve"> (hereinafter “the Green River facility”)</w:t>
      </w:r>
      <w:r w:rsidRPr="008F07F2">
        <w:rPr>
          <w:rFonts w:ascii="Times New Roman" w:hAnsi="Times New Roman" w:cs="Times New Roman"/>
        </w:rPr>
        <w:t xml:space="preserve">. </w:t>
      </w:r>
      <w:r w:rsidR="00BC3162" w:rsidRPr="008F07F2">
        <w:rPr>
          <w:rFonts w:ascii="Times New Roman" w:hAnsi="Times New Roman" w:cs="Times New Roman"/>
        </w:rPr>
        <w:t xml:space="preserve"> </w:t>
      </w:r>
      <w:r w:rsidR="000B6A2A" w:rsidRPr="008F07F2">
        <w:rPr>
          <w:rFonts w:ascii="Times New Roman" w:hAnsi="Times New Roman" w:cs="Times New Roman"/>
        </w:rPr>
        <w:t>PC 12</w:t>
      </w:r>
      <w:r w:rsidR="00BC3162" w:rsidRPr="008F07F2">
        <w:rPr>
          <w:rFonts w:ascii="Times New Roman" w:hAnsi="Times New Roman" w:cs="Times New Roman"/>
        </w:rPr>
        <w:t>.</w:t>
      </w:r>
      <w:r w:rsidRPr="008F07F2">
        <w:rPr>
          <w:rFonts w:ascii="Times New Roman" w:hAnsi="Times New Roman" w:cs="Times New Roman"/>
        </w:rPr>
        <w:t xml:space="preserve"> </w:t>
      </w:r>
      <w:r w:rsidR="00D42028">
        <w:rPr>
          <w:rFonts w:ascii="Times New Roman" w:hAnsi="Times New Roman" w:cs="Times New Roman"/>
        </w:rPr>
        <w:t>Since that date</w:t>
      </w:r>
      <w:r w:rsidR="00D42028" w:rsidRPr="00D42028">
        <w:rPr>
          <w:rFonts w:ascii="Times New Roman" w:hAnsi="Times New Roman" w:cs="Times New Roman"/>
        </w:rPr>
        <w:t>—</w:t>
      </w:r>
      <w:r w:rsidR="00D42028">
        <w:rPr>
          <w:rFonts w:ascii="Times New Roman" w:hAnsi="Times New Roman" w:cs="Times New Roman"/>
        </w:rPr>
        <w:t>for the past 72 years</w:t>
      </w:r>
      <w:r w:rsidR="00D42028" w:rsidRPr="00D42028">
        <w:rPr>
          <w:rFonts w:ascii="Times New Roman" w:hAnsi="Times New Roman" w:cs="Times New Roman"/>
        </w:rPr>
        <w:t>—</w:t>
      </w:r>
      <w:r w:rsidRPr="008F07F2">
        <w:rPr>
          <w:rFonts w:ascii="Times New Roman" w:hAnsi="Times New Roman" w:cs="Times New Roman"/>
        </w:rPr>
        <w:t>there has been an artificial water body—the reservoir—and a river with a natural flow</w:t>
      </w:r>
      <w:r w:rsidR="00E36C28">
        <w:rPr>
          <w:rFonts w:ascii="Times New Roman" w:hAnsi="Times New Roman" w:cs="Times New Roman"/>
        </w:rPr>
        <w:t xml:space="preserve"> perpetually</w:t>
      </w:r>
      <w:r w:rsidRPr="008F07F2">
        <w:rPr>
          <w:rFonts w:ascii="Times New Roman" w:hAnsi="Times New Roman" w:cs="Times New Roman"/>
        </w:rPr>
        <w:t xml:space="preserve"> interrupted by the dam and hydroelectric facility. </w:t>
      </w:r>
      <w:r w:rsidR="00453E99" w:rsidRPr="008F07F2">
        <w:rPr>
          <w:rFonts w:ascii="Times New Roman" w:hAnsi="Times New Roman" w:cs="Times New Roman"/>
          <w:i/>
        </w:rPr>
        <w:t>Id</w:t>
      </w:r>
      <w:r w:rsidR="002346AB" w:rsidRPr="008F07F2">
        <w:rPr>
          <w:rFonts w:ascii="Times New Roman" w:hAnsi="Times New Roman" w:cs="Times New Roman"/>
        </w:rPr>
        <w:t>.</w:t>
      </w:r>
      <w:r w:rsidR="00E36C28">
        <w:rPr>
          <w:rFonts w:ascii="Times New Roman" w:hAnsi="Times New Roman" w:cs="Times New Roman"/>
        </w:rPr>
        <w:t xml:space="preserve">  Nothing in ANR’s proposed Water Quality Certification or any of the parties’ position seek to alter these artificial and man-made environmental conditions.</w:t>
      </w:r>
    </w:p>
    <w:p w14:paraId="25A4D4B2" w14:textId="14E4C9DA" w:rsidR="006B00C4" w:rsidRPr="008F07F2" w:rsidRDefault="006B00C4" w:rsidP="003D51EB">
      <w:pPr>
        <w:rPr>
          <w:rFonts w:ascii="Times New Roman" w:hAnsi="Times New Roman" w:cs="Times New Roman"/>
        </w:rPr>
      </w:pPr>
      <w:r w:rsidRPr="008F07F2">
        <w:rPr>
          <w:rFonts w:ascii="Times New Roman" w:hAnsi="Times New Roman" w:cs="Times New Roman"/>
        </w:rPr>
        <w:t xml:space="preserve">The Federal Energy Regulatory Commission (“FERC”) issued a license to the Green River facility in 1981, and Morrisville Water and Light (“MWL”), the current owner of the facility, is now seeking a renewed license.  PC 1, 104.  As part of the relicensing process, MWL applied to </w:t>
      </w:r>
      <w:r w:rsidR="00453E99" w:rsidRPr="008F07F2">
        <w:rPr>
          <w:rFonts w:ascii="Times New Roman" w:hAnsi="Times New Roman" w:cs="Times New Roman"/>
        </w:rPr>
        <w:t>the Vermont Agency of Natural Resources (“ANR”)</w:t>
      </w:r>
      <w:r w:rsidRPr="008F07F2">
        <w:rPr>
          <w:rFonts w:ascii="Times New Roman" w:hAnsi="Times New Roman" w:cs="Times New Roman"/>
        </w:rPr>
        <w:t xml:space="preserve"> for a water quality certification</w:t>
      </w:r>
      <w:r w:rsidR="00453E99" w:rsidRPr="008F07F2">
        <w:rPr>
          <w:rFonts w:ascii="Times New Roman" w:hAnsi="Times New Roman" w:cs="Times New Roman"/>
        </w:rPr>
        <w:t xml:space="preserve"> pursuant to § 401 of the Clean Water Act (“CWA”)</w:t>
      </w:r>
      <w:r w:rsidR="00E36C28">
        <w:rPr>
          <w:rFonts w:ascii="Times New Roman" w:hAnsi="Times New Roman" w:cs="Times New Roman"/>
        </w:rPr>
        <w:t>.  PC 1.  The Water Quality C</w:t>
      </w:r>
      <w:r w:rsidRPr="008F07F2">
        <w:rPr>
          <w:rFonts w:ascii="Times New Roman" w:hAnsi="Times New Roman" w:cs="Times New Roman"/>
        </w:rPr>
        <w:t xml:space="preserve">ertification </w:t>
      </w:r>
      <w:r w:rsidR="00E36C28">
        <w:rPr>
          <w:rFonts w:ascii="Times New Roman" w:hAnsi="Times New Roman" w:cs="Times New Roman"/>
        </w:rPr>
        <w:t>issued by ANR (“the WQC</w:t>
      </w:r>
      <w:r w:rsidRPr="008F07F2">
        <w:rPr>
          <w:rFonts w:ascii="Times New Roman" w:hAnsi="Times New Roman" w:cs="Times New Roman"/>
        </w:rPr>
        <w:t xml:space="preserve">”) is the subject of this appeal. </w:t>
      </w:r>
    </w:p>
    <w:p w14:paraId="3F806F01" w14:textId="77777777" w:rsidR="00453E99" w:rsidRPr="008F07F2" w:rsidRDefault="00081299" w:rsidP="000B5427">
      <w:pPr>
        <w:pStyle w:val="Heading2"/>
      </w:pPr>
      <w:bookmarkStart w:id="3" w:name="_Toc535838869"/>
      <w:r w:rsidRPr="008F07F2">
        <w:lastRenderedPageBreak/>
        <w:t>White</w:t>
      </w:r>
      <w:r w:rsidR="00453E99" w:rsidRPr="008F07F2">
        <w:t>water Boating on the Green River</w:t>
      </w:r>
      <w:r w:rsidR="00C04E53" w:rsidRPr="008F07F2">
        <w:t xml:space="preserve"> as an Existing Use</w:t>
      </w:r>
      <w:r w:rsidR="00D90DA6" w:rsidRPr="008F07F2">
        <w:t>.</w:t>
      </w:r>
      <w:bookmarkEnd w:id="3"/>
    </w:p>
    <w:p w14:paraId="3D2F5800" w14:textId="137B761A" w:rsidR="00453E99" w:rsidRPr="008F07F2" w:rsidRDefault="00453E99" w:rsidP="00D9674F">
      <w:pPr>
        <w:rPr>
          <w:rFonts w:ascii="Times New Roman" w:hAnsi="Times New Roman" w:cs="Times New Roman"/>
        </w:rPr>
      </w:pPr>
      <w:r w:rsidRPr="008F07F2">
        <w:rPr>
          <w:rFonts w:ascii="Times New Roman" w:hAnsi="Times New Roman" w:cs="Times New Roman"/>
        </w:rPr>
        <w:t>Vermonters and visitors to the state have long enjoyed whitewater boating on the Green River.  PC at 16.  No party to this appeal disputes that the Green River has the potential to provide high-quality whitewater boating opportunities.  See PC at 200.  The two-mile reach between Garfield Road in Morrisville and the confluence of the Green River with the Lamoille River is a unique section of river containing a series of dramatic drops over bedrock ledges and boulders</w:t>
      </w:r>
      <w:r w:rsidR="00D9674F">
        <w:rPr>
          <w:rFonts w:ascii="Times New Roman" w:hAnsi="Times New Roman" w:cs="Times New Roman"/>
        </w:rPr>
        <w:t>, which provide</w:t>
      </w:r>
      <w:r w:rsidRPr="008F07F2">
        <w:rPr>
          <w:rFonts w:ascii="Times New Roman" w:hAnsi="Times New Roman" w:cs="Times New Roman"/>
        </w:rPr>
        <w:t xml:space="preserve"> a challenging whitewater boating experience for skilled paddlers when </w:t>
      </w:r>
      <w:proofErr w:type="gramStart"/>
      <w:r w:rsidRPr="008F07F2">
        <w:rPr>
          <w:rFonts w:ascii="Times New Roman" w:hAnsi="Times New Roman" w:cs="Times New Roman"/>
        </w:rPr>
        <w:t>sufficient</w:t>
      </w:r>
      <w:proofErr w:type="gramEnd"/>
      <w:r w:rsidRPr="008F07F2">
        <w:rPr>
          <w:rFonts w:ascii="Times New Roman" w:hAnsi="Times New Roman" w:cs="Times New Roman"/>
        </w:rPr>
        <w:t xml:space="preserve"> flows are available.  </w:t>
      </w:r>
      <w:r w:rsidRPr="008F07F2">
        <w:rPr>
          <w:rFonts w:ascii="Times New Roman" w:hAnsi="Times New Roman" w:cs="Times New Roman"/>
          <w:i/>
        </w:rPr>
        <w:t>Id</w:t>
      </w:r>
      <w:r w:rsidRPr="008F07F2">
        <w:rPr>
          <w:rFonts w:ascii="Times New Roman" w:hAnsi="Times New Roman" w:cs="Times New Roman"/>
        </w:rPr>
        <w:t>.</w:t>
      </w:r>
      <w:r w:rsidR="00D9674F">
        <w:rPr>
          <w:rFonts w:ascii="Times New Roman" w:hAnsi="Times New Roman" w:cs="Times New Roman"/>
        </w:rPr>
        <w:t xml:space="preserve">  As ANR’s tactical basin report notes, this stretch of the Green River has “</w:t>
      </w:r>
      <w:r w:rsidR="00D9674F" w:rsidRPr="00D9674F">
        <w:rPr>
          <w:rFonts w:ascii="Times New Roman" w:hAnsi="Times New Roman" w:cs="Times New Roman"/>
        </w:rPr>
        <w:t>Class IV-V</w:t>
      </w:r>
      <w:r w:rsidR="00D9674F">
        <w:rPr>
          <w:rFonts w:ascii="Times New Roman" w:hAnsi="Times New Roman" w:cs="Times New Roman"/>
        </w:rPr>
        <w:t xml:space="preserve"> [rapids]</w:t>
      </w:r>
      <w:r w:rsidR="00D9674F" w:rsidRPr="00D9674F">
        <w:rPr>
          <w:rFonts w:ascii="Times New Roman" w:hAnsi="Times New Roman" w:cs="Times New Roman"/>
        </w:rPr>
        <w:t>,</w:t>
      </w:r>
      <w:r w:rsidR="00D9674F">
        <w:rPr>
          <w:rFonts w:ascii="Times New Roman" w:hAnsi="Times New Roman" w:cs="Times New Roman"/>
        </w:rPr>
        <w:t xml:space="preserve"> </w:t>
      </w:r>
      <w:r w:rsidR="00D9674F" w:rsidRPr="00D9674F">
        <w:rPr>
          <w:rFonts w:ascii="Times New Roman" w:hAnsi="Times New Roman" w:cs="Times New Roman"/>
        </w:rPr>
        <w:t>outstanding scenery</w:t>
      </w:r>
      <w:r w:rsidR="00D9674F">
        <w:rPr>
          <w:rFonts w:ascii="Times New Roman" w:hAnsi="Times New Roman" w:cs="Times New Roman"/>
        </w:rPr>
        <w:t xml:space="preserve"> </w:t>
      </w:r>
      <w:r w:rsidR="00D9674F" w:rsidRPr="00D9674F">
        <w:rPr>
          <w:rFonts w:ascii="Times New Roman" w:hAnsi="Times New Roman" w:cs="Times New Roman"/>
        </w:rPr>
        <w:t>and rapids, used by</w:t>
      </w:r>
      <w:r w:rsidR="00D9674F">
        <w:rPr>
          <w:rFonts w:ascii="Times New Roman" w:hAnsi="Times New Roman" w:cs="Times New Roman"/>
        </w:rPr>
        <w:t xml:space="preserve"> </w:t>
      </w:r>
      <w:r w:rsidR="00D9674F" w:rsidRPr="00D9674F">
        <w:rPr>
          <w:rFonts w:ascii="Times New Roman" w:hAnsi="Times New Roman" w:cs="Times New Roman"/>
        </w:rPr>
        <w:t>expert</w:t>
      </w:r>
      <w:r w:rsidR="00D9674F">
        <w:rPr>
          <w:rFonts w:ascii="Times New Roman" w:hAnsi="Times New Roman" w:cs="Times New Roman"/>
        </w:rPr>
        <w:t xml:space="preserve"> </w:t>
      </w:r>
      <w:r w:rsidR="00D9674F" w:rsidRPr="00D9674F">
        <w:rPr>
          <w:rFonts w:ascii="Times New Roman" w:hAnsi="Times New Roman" w:cs="Times New Roman"/>
        </w:rPr>
        <w:t>paddlers, only river</w:t>
      </w:r>
      <w:r w:rsidR="00D9674F">
        <w:rPr>
          <w:rFonts w:ascii="Times New Roman" w:hAnsi="Times New Roman" w:cs="Times New Roman"/>
        </w:rPr>
        <w:t xml:space="preserve"> </w:t>
      </w:r>
      <w:r w:rsidR="00D9674F" w:rsidRPr="00D9674F">
        <w:rPr>
          <w:rFonts w:ascii="Times New Roman" w:hAnsi="Times New Roman" w:cs="Times New Roman"/>
        </w:rPr>
        <w:t>in State with</w:t>
      </w:r>
      <w:r w:rsidR="00D9674F">
        <w:rPr>
          <w:rFonts w:ascii="Times New Roman" w:hAnsi="Times New Roman" w:cs="Times New Roman"/>
        </w:rPr>
        <w:t xml:space="preserve"> </w:t>
      </w:r>
      <w:r w:rsidR="00D9674F" w:rsidRPr="00D9674F">
        <w:rPr>
          <w:rFonts w:ascii="Times New Roman" w:hAnsi="Times New Roman" w:cs="Times New Roman"/>
        </w:rPr>
        <w:t>potential to support</w:t>
      </w:r>
      <w:r w:rsidR="00D9674F">
        <w:rPr>
          <w:rFonts w:ascii="Times New Roman" w:hAnsi="Times New Roman" w:cs="Times New Roman"/>
        </w:rPr>
        <w:t xml:space="preserve"> </w:t>
      </w:r>
      <w:r w:rsidR="00D9674F" w:rsidRPr="00D9674F">
        <w:rPr>
          <w:rFonts w:ascii="Times New Roman" w:hAnsi="Times New Roman" w:cs="Times New Roman"/>
        </w:rPr>
        <w:t>recreational dam</w:t>
      </w:r>
      <w:r w:rsidR="00D9674F">
        <w:rPr>
          <w:rFonts w:ascii="Times New Roman" w:hAnsi="Times New Roman" w:cs="Times New Roman"/>
        </w:rPr>
        <w:t xml:space="preserve"> </w:t>
      </w:r>
      <w:r w:rsidR="00D9674F" w:rsidRPr="00D9674F">
        <w:rPr>
          <w:rFonts w:ascii="Times New Roman" w:hAnsi="Times New Roman" w:cs="Times New Roman"/>
        </w:rPr>
        <w:t>releases on a steep</w:t>
      </w:r>
      <w:r w:rsidR="00D9674F">
        <w:rPr>
          <w:rFonts w:ascii="Times New Roman" w:hAnsi="Times New Roman" w:cs="Times New Roman"/>
        </w:rPr>
        <w:t xml:space="preserve"> </w:t>
      </w:r>
      <w:r w:rsidR="00D9674F" w:rsidRPr="00D9674F">
        <w:rPr>
          <w:rFonts w:ascii="Times New Roman" w:hAnsi="Times New Roman" w:cs="Times New Roman"/>
        </w:rPr>
        <w:t>creek</w:t>
      </w:r>
      <w:r w:rsidR="00D9674F">
        <w:rPr>
          <w:rFonts w:ascii="Times New Roman" w:hAnsi="Times New Roman" w:cs="Times New Roman"/>
        </w:rPr>
        <w:t xml:space="preserve">.”  </w:t>
      </w:r>
      <w:r w:rsidR="00436B89">
        <w:rPr>
          <w:rFonts w:ascii="Times New Roman" w:hAnsi="Times New Roman" w:cs="Times New Roman"/>
          <w:i/>
        </w:rPr>
        <w:t>Id.</w:t>
      </w:r>
      <w:r w:rsidR="00D9674F">
        <w:rPr>
          <w:rFonts w:ascii="Times New Roman" w:hAnsi="Times New Roman" w:cs="Times New Roman"/>
        </w:rPr>
        <w:t xml:space="preserve">  During the trial, AW/VPC’s witnesses testified as to the importance of this river for the paddling community</w:t>
      </w:r>
      <w:r w:rsidR="0086580A">
        <w:rPr>
          <w:rFonts w:ascii="Times New Roman" w:hAnsi="Times New Roman" w:cs="Times New Roman"/>
        </w:rPr>
        <w:t xml:space="preserve"> and the large number of paddlers that attend when a release is sche</w:t>
      </w:r>
      <w:r w:rsidR="000453C6">
        <w:rPr>
          <w:rFonts w:ascii="Times New Roman" w:hAnsi="Times New Roman" w:cs="Times New Roman"/>
        </w:rPr>
        <w:t>duled.  Tr. (04.05.2018) at 20–</w:t>
      </w:r>
      <w:r w:rsidR="0086580A">
        <w:rPr>
          <w:rFonts w:ascii="Times New Roman" w:hAnsi="Times New Roman" w:cs="Times New Roman"/>
        </w:rPr>
        <w:t>27, 40</w:t>
      </w:r>
      <w:r w:rsidR="000453C6">
        <w:rPr>
          <w:rFonts w:ascii="Times New Roman" w:hAnsi="Times New Roman" w:cs="Times New Roman"/>
        </w:rPr>
        <w:t>–</w:t>
      </w:r>
      <w:r w:rsidR="0086580A">
        <w:rPr>
          <w:rFonts w:ascii="Times New Roman" w:hAnsi="Times New Roman" w:cs="Times New Roman"/>
        </w:rPr>
        <w:t>44</w:t>
      </w:r>
      <w:r w:rsidR="00D9674F">
        <w:rPr>
          <w:rFonts w:ascii="Times New Roman" w:hAnsi="Times New Roman" w:cs="Times New Roman"/>
        </w:rPr>
        <w:t xml:space="preserve">.  </w:t>
      </w:r>
    </w:p>
    <w:p w14:paraId="5C4FBB49" w14:textId="2BA36AB9" w:rsidR="00453E99" w:rsidRPr="008F07F2" w:rsidRDefault="0036281E" w:rsidP="003D51EB">
      <w:pPr>
        <w:rPr>
          <w:rFonts w:ascii="Times New Roman" w:hAnsi="Times New Roman" w:cs="Times New Roman"/>
        </w:rPr>
      </w:pPr>
      <w:r w:rsidRPr="008F07F2">
        <w:rPr>
          <w:rFonts w:ascii="Times New Roman" w:hAnsi="Times New Roman" w:cs="Times New Roman"/>
        </w:rPr>
        <w:t xml:space="preserve">A certain minimum flow rate is necessary to provide safe conditions for whitewater boating on the Green River.  PC at 16, 56–57.  </w:t>
      </w:r>
      <w:r w:rsidR="000B6A2A" w:rsidRPr="008F07F2">
        <w:rPr>
          <w:rFonts w:ascii="Times New Roman" w:hAnsi="Times New Roman" w:cs="Times New Roman"/>
        </w:rPr>
        <w:t>Since the</w:t>
      </w:r>
      <w:r w:rsidR="00D9674F">
        <w:rPr>
          <w:rFonts w:ascii="Times New Roman" w:hAnsi="Times New Roman" w:cs="Times New Roman"/>
        </w:rPr>
        <w:t xml:space="preserve"> post-World War II</w:t>
      </w:r>
      <w:r w:rsidR="000B6A2A" w:rsidRPr="008F07F2">
        <w:rPr>
          <w:rFonts w:ascii="Times New Roman" w:hAnsi="Times New Roman" w:cs="Times New Roman"/>
        </w:rPr>
        <w:t xml:space="preserve"> installation of the Green River facility, t</w:t>
      </w:r>
      <w:r w:rsidRPr="008F07F2">
        <w:rPr>
          <w:rFonts w:ascii="Times New Roman" w:hAnsi="Times New Roman" w:cs="Times New Roman"/>
        </w:rPr>
        <w:t xml:space="preserve">hose flow rates have historically occurred on the river in naturally-occurring high-flow events when </w:t>
      </w:r>
      <w:proofErr w:type="gramStart"/>
      <w:r w:rsidRPr="008F07F2">
        <w:rPr>
          <w:rFonts w:ascii="Times New Roman" w:hAnsi="Times New Roman" w:cs="Times New Roman"/>
        </w:rPr>
        <w:t>sufficient</w:t>
      </w:r>
      <w:proofErr w:type="gramEnd"/>
      <w:r w:rsidRPr="008F07F2">
        <w:rPr>
          <w:rFonts w:ascii="Times New Roman" w:hAnsi="Times New Roman" w:cs="Times New Roman"/>
        </w:rPr>
        <w:t xml:space="preserve"> rainfall or snow-melt result in generation or spill events that increase the flow of the river below the dam.  </w:t>
      </w:r>
      <w:r w:rsidRPr="008F07F2">
        <w:rPr>
          <w:rFonts w:ascii="Times New Roman" w:hAnsi="Times New Roman" w:cs="Times New Roman"/>
          <w:i/>
        </w:rPr>
        <w:t>Id</w:t>
      </w:r>
      <w:r w:rsidRPr="008F07F2">
        <w:rPr>
          <w:rFonts w:ascii="Times New Roman" w:hAnsi="Times New Roman" w:cs="Times New Roman"/>
        </w:rPr>
        <w:t xml:space="preserve">.  Because such natural events are unpredictable, however, most of the meaningful whitewater events on the Green River </w:t>
      </w:r>
      <w:r w:rsidR="00FB41CD">
        <w:rPr>
          <w:rFonts w:ascii="Times New Roman" w:hAnsi="Times New Roman" w:cs="Times New Roman"/>
        </w:rPr>
        <w:t xml:space="preserve">have long </w:t>
      </w:r>
      <w:r w:rsidRPr="008F07F2">
        <w:rPr>
          <w:rFonts w:ascii="Times New Roman" w:hAnsi="Times New Roman" w:cs="Times New Roman"/>
        </w:rPr>
        <w:t>occur</w:t>
      </w:r>
      <w:r w:rsidR="00FB41CD">
        <w:rPr>
          <w:rFonts w:ascii="Times New Roman" w:hAnsi="Times New Roman" w:cs="Times New Roman"/>
        </w:rPr>
        <w:t>red</w:t>
      </w:r>
      <w:r w:rsidRPr="008F07F2">
        <w:rPr>
          <w:rFonts w:ascii="Times New Roman" w:hAnsi="Times New Roman" w:cs="Times New Roman"/>
        </w:rPr>
        <w:t xml:space="preserve"> as a result of periodic, scheduled generation releases done by MWL at the request of the American Whitewater/Vermont Paddler’s Club (AW/VPC).  </w:t>
      </w:r>
      <w:r w:rsidRPr="008F07F2">
        <w:rPr>
          <w:rFonts w:ascii="Times New Roman" w:hAnsi="Times New Roman" w:cs="Times New Roman"/>
          <w:i/>
        </w:rPr>
        <w:t>Id</w:t>
      </w:r>
      <w:r w:rsidRPr="008F07F2">
        <w:rPr>
          <w:rFonts w:ascii="Times New Roman" w:hAnsi="Times New Roman" w:cs="Times New Roman"/>
        </w:rPr>
        <w:t xml:space="preserve">.  </w:t>
      </w:r>
      <w:r w:rsidR="00453E99" w:rsidRPr="008F07F2">
        <w:rPr>
          <w:rFonts w:ascii="Times New Roman" w:hAnsi="Times New Roman" w:cs="Times New Roman"/>
        </w:rPr>
        <w:t xml:space="preserve"> </w:t>
      </w:r>
    </w:p>
    <w:p w14:paraId="79D0BDB4" w14:textId="343E8C6D" w:rsidR="00391EA3" w:rsidRPr="008F07F2" w:rsidRDefault="00FB41CD" w:rsidP="003D51EB">
      <w:pPr>
        <w:rPr>
          <w:rFonts w:ascii="Times New Roman" w:hAnsi="Times New Roman" w:cs="Times New Roman"/>
        </w:rPr>
      </w:pPr>
      <w:r>
        <w:rPr>
          <w:rFonts w:ascii="Times New Roman" w:hAnsi="Times New Roman" w:cs="Times New Roman"/>
        </w:rPr>
        <w:t>As an established</w:t>
      </w:r>
      <w:r w:rsidR="00442FAD" w:rsidRPr="008F07F2">
        <w:rPr>
          <w:rFonts w:ascii="Times New Roman" w:hAnsi="Times New Roman" w:cs="Times New Roman"/>
        </w:rPr>
        <w:t xml:space="preserve"> activity on the Green River, w</w:t>
      </w:r>
      <w:r w:rsidR="00391EA3" w:rsidRPr="008F07F2">
        <w:rPr>
          <w:rFonts w:ascii="Times New Roman" w:hAnsi="Times New Roman" w:cs="Times New Roman"/>
        </w:rPr>
        <w:t>hitewater boating</w:t>
      </w:r>
      <w:r w:rsidR="00442FAD" w:rsidRPr="008F07F2">
        <w:rPr>
          <w:rFonts w:ascii="Times New Roman" w:hAnsi="Times New Roman" w:cs="Times New Roman"/>
        </w:rPr>
        <w:t xml:space="preserve"> (including on scheduled releases)</w:t>
      </w:r>
      <w:r w:rsidR="00391EA3" w:rsidRPr="008F07F2">
        <w:rPr>
          <w:rFonts w:ascii="Times New Roman" w:hAnsi="Times New Roman" w:cs="Times New Roman"/>
        </w:rPr>
        <w:t xml:space="preserve"> is an “existing use” under the CWA and Vermont Water Quality Standards (“VWQS”).  </w:t>
      </w:r>
      <w:r w:rsidR="002346AB" w:rsidRPr="008F07F2">
        <w:rPr>
          <w:rFonts w:ascii="Times New Roman" w:hAnsi="Times New Roman" w:cs="Times New Roman"/>
        </w:rPr>
        <w:t xml:space="preserve">PC at 16.  </w:t>
      </w:r>
      <w:r w:rsidR="00391EA3" w:rsidRPr="008F07F2">
        <w:rPr>
          <w:rFonts w:ascii="Times New Roman" w:hAnsi="Times New Roman" w:cs="Times New Roman"/>
        </w:rPr>
        <w:t xml:space="preserve">The CWA defines “existing uses” as follows: “Existing uses are those uses actually </w:t>
      </w:r>
      <w:r w:rsidR="00391EA3" w:rsidRPr="008F07F2">
        <w:rPr>
          <w:rFonts w:ascii="Times New Roman" w:hAnsi="Times New Roman" w:cs="Times New Roman"/>
        </w:rPr>
        <w:lastRenderedPageBreak/>
        <w:t xml:space="preserve">attained in the water body on or after November 28, 1975, whether or not they are included in the water quality standards.” 40 </w:t>
      </w:r>
      <w:r w:rsidR="008F43FC" w:rsidRPr="008F07F2">
        <w:rPr>
          <w:rFonts w:ascii="Times New Roman" w:hAnsi="Times New Roman" w:cs="Times New Roman"/>
        </w:rPr>
        <w:t>C.F.R.</w:t>
      </w:r>
      <w:r w:rsidR="00FA7200" w:rsidRPr="008F07F2">
        <w:rPr>
          <w:rFonts w:ascii="Times New Roman" w:hAnsi="Times New Roman" w:cs="Times New Roman"/>
        </w:rPr>
        <w:t xml:space="preserve"> § 1</w:t>
      </w:r>
      <w:r w:rsidR="00391EA3" w:rsidRPr="008F07F2">
        <w:rPr>
          <w:rFonts w:ascii="Times New Roman" w:hAnsi="Times New Roman" w:cs="Times New Roman"/>
        </w:rPr>
        <w:t>31.3(c)</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"40 C.F.R. § 131.3(c)" \s "131.3(c)" \c 6 </w:instrText>
      </w:r>
      <w:r w:rsidR="00D03FB1" w:rsidRPr="008F07F2">
        <w:rPr>
          <w:rFonts w:ascii="Times New Roman" w:hAnsi="Times New Roman" w:cs="Times New Roman"/>
        </w:rPr>
        <w:fldChar w:fldCharType="end"/>
      </w:r>
      <w:r w:rsidR="00391EA3" w:rsidRPr="008F07F2">
        <w:rPr>
          <w:rFonts w:ascii="Times New Roman" w:hAnsi="Times New Roman" w:cs="Times New Roman"/>
        </w:rPr>
        <w:t xml:space="preserve"> (emphasis added).  The VWQS similarly define an existing use as: “a use which has actually occurred on or after November 28, 1975, in or on waters, whether or not the use is included in the standard for classification of the waters, and whether or not the use is presently occurring.”  VWQS § 1-01(B)(18)</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"Vermont Water Quality Standards § 1-01(B)(18)" \s "1-01(B)(18)" \c 6 </w:instrText>
      </w:r>
      <w:r w:rsidR="00D03FB1" w:rsidRPr="008F07F2">
        <w:rPr>
          <w:rFonts w:ascii="Times New Roman" w:hAnsi="Times New Roman" w:cs="Times New Roman"/>
        </w:rPr>
        <w:fldChar w:fldCharType="end"/>
      </w:r>
      <w:r w:rsidR="00391EA3" w:rsidRPr="008F07F2">
        <w:rPr>
          <w:rFonts w:ascii="Times New Roman" w:hAnsi="Times New Roman" w:cs="Times New Roman"/>
        </w:rPr>
        <w:t xml:space="preserve"> (emphasis added).  </w:t>
      </w:r>
    </w:p>
    <w:p w14:paraId="580A8897" w14:textId="729E2629" w:rsidR="00A513EC" w:rsidRPr="008F07F2" w:rsidRDefault="00436B89" w:rsidP="003D51EB">
      <w:pPr>
        <w:rPr>
          <w:rFonts w:ascii="Times New Roman" w:hAnsi="Times New Roman" w:cs="Times New Roman"/>
        </w:rPr>
      </w:pPr>
      <w:r>
        <w:rPr>
          <w:rFonts w:ascii="Times New Roman" w:hAnsi="Times New Roman" w:cs="Times New Roman"/>
        </w:rPr>
        <w:t>Nevertheless</w:t>
      </w:r>
      <w:r w:rsidR="007D3AF2" w:rsidRPr="008F07F2">
        <w:rPr>
          <w:rFonts w:ascii="Times New Roman" w:hAnsi="Times New Roman" w:cs="Times New Roman"/>
        </w:rPr>
        <w:t>, ANR</w:t>
      </w:r>
      <w:r w:rsidR="00FB41CD">
        <w:rPr>
          <w:rFonts w:ascii="Times New Roman" w:hAnsi="Times New Roman" w:cs="Times New Roman"/>
        </w:rPr>
        <w:t>, when developing its Water Quality Certification,</w:t>
      </w:r>
      <w:r w:rsidR="007D3AF2" w:rsidRPr="008F07F2">
        <w:rPr>
          <w:rFonts w:ascii="Times New Roman" w:hAnsi="Times New Roman" w:cs="Times New Roman"/>
        </w:rPr>
        <w:t xml:space="preserve"> assumed that whitewater boating on the Gre</w:t>
      </w:r>
      <w:r w:rsidR="00FB41CD">
        <w:rPr>
          <w:rFonts w:ascii="Times New Roman" w:hAnsi="Times New Roman" w:cs="Times New Roman"/>
        </w:rPr>
        <w:t>en River wa</w:t>
      </w:r>
      <w:r w:rsidR="00442FAD" w:rsidRPr="008F07F2">
        <w:rPr>
          <w:rFonts w:ascii="Times New Roman" w:hAnsi="Times New Roman" w:cs="Times New Roman"/>
        </w:rPr>
        <w:t>s not an existing use</w:t>
      </w:r>
      <w:r w:rsidR="007D3AF2" w:rsidRPr="008F07F2">
        <w:rPr>
          <w:rFonts w:ascii="Times New Roman" w:hAnsi="Times New Roman" w:cs="Times New Roman"/>
        </w:rPr>
        <w:t xml:space="preserve"> and designed the WQC on that assumption.  Tr. (04.09.2018) at 181–85.  </w:t>
      </w:r>
      <w:r w:rsidR="00FB41CD">
        <w:rPr>
          <w:rFonts w:ascii="Times New Roman" w:hAnsi="Times New Roman" w:cs="Times New Roman"/>
        </w:rPr>
        <w:t xml:space="preserve">It also did not study whitewater boating or attempt to calculate the impact that boating did or did not have on the river.  </w:t>
      </w:r>
      <w:r w:rsidR="0036281E" w:rsidRPr="008F07F2">
        <w:rPr>
          <w:rFonts w:ascii="Times New Roman" w:hAnsi="Times New Roman" w:cs="Times New Roman"/>
        </w:rPr>
        <w:t xml:space="preserve">Because </w:t>
      </w:r>
      <w:r>
        <w:rPr>
          <w:rFonts w:ascii="Times New Roman" w:hAnsi="Times New Roman" w:cs="Times New Roman"/>
        </w:rPr>
        <w:t>ANR</w:t>
      </w:r>
      <w:r w:rsidR="0036281E" w:rsidRPr="008F07F2">
        <w:rPr>
          <w:rFonts w:ascii="Times New Roman" w:hAnsi="Times New Roman" w:cs="Times New Roman"/>
        </w:rPr>
        <w:t xml:space="preserve"> did not treat whitewater boating as an existing use,</w:t>
      </w:r>
      <w:r w:rsidR="00A513EC" w:rsidRPr="008F07F2">
        <w:rPr>
          <w:rFonts w:ascii="Times New Roman" w:hAnsi="Times New Roman" w:cs="Times New Roman"/>
        </w:rPr>
        <w:t xml:space="preserve"> </w:t>
      </w:r>
      <w:r w:rsidR="006272F9">
        <w:rPr>
          <w:rFonts w:ascii="Times New Roman" w:hAnsi="Times New Roman" w:cs="Times New Roman"/>
        </w:rPr>
        <w:t xml:space="preserve">it did not study or seek to incorporate any conditions that would </w:t>
      </w:r>
      <w:r>
        <w:rPr>
          <w:rFonts w:ascii="Times New Roman" w:hAnsi="Times New Roman" w:cs="Times New Roman"/>
        </w:rPr>
        <w:t>protect whitewater boating.  As a result, the proposed WQC</w:t>
      </w:r>
      <w:r w:rsidR="00A513EC" w:rsidRPr="008F07F2">
        <w:rPr>
          <w:rFonts w:ascii="Times New Roman" w:hAnsi="Times New Roman" w:cs="Times New Roman"/>
        </w:rPr>
        <w:t xml:space="preserve"> fails to protect whitewater boating as an existing use in </w:t>
      </w:r>
      <w:r w:rsidR="00D05E43" w:rsidRPr="008F07F2">
        <w:rPr>
          <w:rFonts w:ascii="Times New Roman" w:hAnsi="Times New Roman" w:cs="Times New Roman"/>
        </w:rPr>
        <w:t>two</w:t>
      </w:r>
      <w:r w:rsidR="00A513EC" w:rsidRPr="008F07F2">
        <w:rPr>
          <w:rFonts w:ascii="Times New Roman" w:hAnsi="Times New Roman" w:cs="Times New Roman"/>
        </w:rPr>
        <w:t xml:space="preserve"> key ways.  First, it prohibits MWL from scheduling generation releases at </w:t>
      </w:r>
      <w:proofErr w:type="spellStart"/>
      <w:r w:rsidR="00A513EC" w:rsidRPr="008F07F2">
        <w:rPr>
          <w:rFonts w:ascii="Times New Roman" w:hAnsi="Times New Roman" w:cs="Times New Roman"/>
        </w:rPr>
        <w:t>boatable</w:t>
      </w:r>
      <w:proofErr w:type="spellEnd"/>
      <w:r w:rsidR="00A513EC" w:rsidRPr="008F07F2">
        <w:rPr>
          <w:rFonts w:ascii="Times New Roman" w:hAnsi="Times New Roman" w:cs="Times New Roman"/>
        </w:rPr>
        <w:t xml:space="preserve"> flows.  PC at 55-58, 152–56.  Second, it requires MWL to store natural inflows </w:t>
      </w:r>
      <w:r w:rsidR="00D05E43" w:rsidRPr="008F07F2">
        <w:rPr>
          <w:rFonts w:ascii="Times New Roman" w:hAnsi="Times New Roman" w:cs="Times New Roman"/>
        </w:rPr>
        <w:t xml:space="preserve">in a way that </w:t>
      </w:r>
      <w:r>
        <w:rPr>
          <w:rFonts w:ascii="Times New Roman" w:hAnsi="Times New Roman" w:cs="Times New Roman"/>
        </w:rPr>
        <w:t xml:space="preserve">artificially </w:t>
      </w:r>
      <w:r w:rsidR="00D05E43" w:rsidRPr="008F07F2">
        <w:rPr>
          <w:rFonts w:ascii="Times New Roman" w:hAnsi="Times New Roman" w:cs="Times New Roman"/>
        </w:rPr>
        <w:t>decreases</w:t>
      </w:r>
      <w:r w:rsidR="00A513EC" w:rsidRPr="008F07F2">
        <w:rPr>
          <w:rFonts w:ascii="Times New Roman" w:hAnsi="Times New Roman" w:cs="Times New Roman"/>
        </w:rPr>
        <w:t xml:space="preserve"> </w:t>
      </w:r>
      <w:proofErr w:type="spellStart"/>
      <w:r w:rsidR="00A513EC" w:rsidRPr="008F07F2">
        <w:rPr>
          <w:rFonts w:ascii="Times New Roman" w:hAnsi="Times New Roman" w:cs="Times New Roman"/>
        </w:rPr>
        <w:t>boatable</w:t>
      </w:r>
      <w:proofErr w:type="spellEnd"/>
      <w:r w:rsidR="00A513EC" w:rsidRPr="008F07F2">
        <w:rPr>
          <w:rFonts w:ascii="Times New Roman" w:hAnsi="Times New Roman" w:cs="Times New Roman"/>
        </w:rPr>
        <w:t xml:space="preserve"> natural high flows.  </w:t>
      </w:r>
      <w:r w:rsidR="00A513EC" w:rsidRPr="008F07F2">
        <w:rPr>
          <w:rFonts w:ascii="Times New Roman" w:hAnsi="Times New Roman" w:cs="Times New Roman"/>
          <w:i/>
        </w:rPr>
        <w:t>Id</w:t>
      </w:r>
      <w:r w:rsidR="00A513EC" w:rsidRPr="008F07F2">
        <w:rPr>
          <w:rFonts w:ascii="Times New Roman" w:hAnsi="Times New Roman" w:cs="Times New Roman"/>
        </w:rPr>
        <w:t xml:space="preserve">. </w:t>
      </w:r>
    </w:p>
    <w:p w14:paraId="2726FFC5" w14:textId="5A458657" w:rsidR="007D3AF2" w:rsidRPr="008F07F2" w:rsidRDefault="00A513EC" w:rsidP="003D51EB">
      <w:pPr>
        <w:rPr>
          <w:rFonts w:ascii="Times New Roman" w:hAnsi="Times New Roman" w:cs="Times New Roman"/>
        </w:rPr>
      </w:pPr>
      <w:r w:rsidRPr="008F07F2">
        <w:rPr>
          <w:rFonts w:ascii="Times New Roman" w:hAnsi="Times New Roman" w:cs="Times New Roman"/>
        </w:rPr>
        <w:t xml:space="preserve">This failure to protect whitewater boating stems from a failure of process.  </w:t>
      </w:r>
      <w:r w:rsidR="00436B89">
        <w:rPr>
          <w:rFonts w:ascii="Times New Roman" w:hAnsi="Times New Roman" w:cs="Times New Roman"/>
        </w:rPr>
        <w:t>In generating its</w:t>
      </w:r>
      <w:r w:rsidR="007D3AF2" w:rsidRPr="008F07F2">
        <w:rPr>
          <w:rFonts w:ascii="Times New Roman" w:hAnsi="Times New Roman" w:cs="Times New Roman"/>
        </w:rPr>
        <w:t xml:space="preserve"> WQC</w:t>
      </w:r>
      <w:r w:rsidR="00436B89">
        <w:rPr>
          <w:rFonts w:ascii="Times New Roman" w:hAnsi="Times New Roman" w:cs="Times New Roman"/>
        </w:rPr>
        <w:t>, ANR did</w:t>
      </w:r>
      <w:r w:rsidR="007D3AF2" w:rsidRPr="008F07F2">
        <w:rPr>
          <w:rFonts w:ascii="Times New Roman" w:hAnsi="Times New Roman" w:cs="Times New Roman"/>
        </w:rPr>
        <w:t xml:space="preserve"> not include any analysis or site-specific studies on whitewater boating as an existing use that merits preservation and protection, or analysis of the conditions that would support whitewater boating.  See generally PC at 103–59; Tr. (04.04.2018) at 83, 170–71; (04.09.2018) at 72; (04.10.2018) at 104–06.  Because whitewater boating was not considered, there was also no analysis of how whitewater boating flows might impact aquatic habitat or other designated uses.  Tr. (04.04.2018) at 91; (04.09.2018) at 192–93; (04.10.2018) at 104–110.  </w:t>
      </w:r>
    </w:p>
    <w:p w14:paraId="57605299" w14:textId="2CCDC1DD" w:rsidR="00D65506" w:rsidRDefault="00A42EB7" w:rsidP="003D51EB">
      <w:pPr>
        <w:rPr>
          <w:rFonts w:ascii="Times New Roman" w:hAnsi="Times New Roman" w:cs="Times New Roman"/>
        </w:rPr>
      </w:pPr>
      <w:r>
        <w:rPr>
          <w:rFonts w:ascii="Times New Roman" w:hAnsi="Times New Roman" w:cs="Times New Roman"/>
        </w:rPr>
        <w:t xml:space="preserve">ANR’s initial position in this process was to simply deny that whitewater boating was an existing use under the Clean Water Act.  ANR sought to dismiss AW/VPC as parties on the premise </w:t>
      </w:r>
      <w:r>
        <w:rPr>
          <w:rFonts w:ascii="Times New Roman" w:hAnsi="Times New Roman" w:cs="Times New Roman"/>
        </w:rPr>
        <w:lastRenderedPageBreak/>
        <w:t>that whitewater boating was not an existing use, and that the Environmental Division needed to defer to this conclusion</w:t>
      </w:r>
      <w:r w:rsidR="000453C6">
        <w:rPr>
          <w:rFonts w:ascii="Times New Roman" w:hAnsi="Times New Roman" w:cs="Times New Roman"/>
        </w:rPr>
        <w:t xml:space="preserve">. </w:t>
      </w:r>
      <w:r>
        <w:rPr>
          <w:rFonts w:ascii="Times New Roman" w:hAnsi="Times New Roman" w:cs="Times New Roman"/>
        </w:rPr>
        <w:t xml:space="preserve"> </w:t>
      </w:r>
      <w:r w:rsidR="000453C6">
        <w:rPr>
          <w:rFonts w:ascii="Times New Roman" w:hAnsi="Times New Roman" w:cs="Times New Roman"/>
        </w:rPr>
        <w:t xml:space="preserve">AW/VPC </w:t>
      </w:r>
      <w:r w:rsidRPr="001A1612">
        <w:rPr>
          <w:rFonts w:ascii="Times New Roman" w:hAnsi="Times New Roman" w:cs="Times New Roman"/>
        </w:rPr>
        <w:t>S</w:t>
      </w:r>
      <w:r w:rsidR="001A1612">
        <w:rPr>
          <w:rFonts w:ascii="Times New Roman" w:hAnsi="Times New Roman" w:cs="Times New Roman"/>
        </w:rPr>
        <w:t xml:space="preserve">upplemental </w:t>
      </w:r>
      <w:r w:rsidRPr="001A1612">
        <w:rPr>
          <w:rFonts w:ascii="Times New Roman" w:hAnsi="Times New Roman" w:cs="Times New Roman"/>
        </w:rPr>
        <w:t>P</w:t>
      </w:r>
      <w:r w:rsidR="001A1612">
        <w:rPr>
          <w:rFonts w:ascii="Times New Roman" w:hAnsi="Times New Roman" w:cs="Times New Roman"/>
        </w:rPr>
        <w:t xml:space="preserve"> </w:t>
      </w:r>
      <w:proofErr w:type="spellStart"/>
      <w:r w:rsidR="001A1612">
        <w:rPr>
          <w:rFonts w:ascii="Times New Roman" w:hAnsi="Times New Roman" w:cs="Times New Roman"/>
        </w:rPr>
        <w:t>rinted</w:t>
      </w:r>
      <w:proofErr w:type="spellEnd"/>
      <w:r w:rsidR="001A1612">
        <w:rPr>
          <w:rFonts w:ascii="Times New Roman" w:hAnsi="Times New Roman" w:cs="Times New Roman"/>
        </w:rPr>
        <w:t xml:space="preserve"> </w:t>
      </w:r>
      <w:r w:rsidRPr="001A1612">
        <w:rPr>
          <w:rFonts w:ascii="Times New Roman" w:hAnsi="Times New Roman" w:cs="Times New Roman"/>
        </w:rPr>
        <w:t>C</w:t>
      </w:r>
      <w:r w:rsidR="001A1612">
        <w:rPr>
          <w:rFonts w:ascii="Times New Roman" w:hAnsi="Times New Roman" w:cs="Times New Roman"/>
        </w:rPr>
        <w:t>ase</w:t>
      </w:r>
      <w:r w:rsidRPr="001A1612">
        <w:rPr>
          <w:rFonts w:ascii="Times New Roman" w:hAnsi="Times New Roman" w:cs="Times New Roman"/>
        </w:rPr>
        <w:t xml:space="preserve"> at </w:t>
      </w:r>
      <w:r w:rsidR="00022954" w:rsidRPr="00022954">
        <w:rPr>
          <w:rFonts w:ascii="Times New Roman" w:hAnsi="Times New Roman" w:cs="Times New Roman"/>
        </w:rPr>
        <w:t>3</w:t>
      </w:r>
      <w:r w:rsidR="00022954">
        <w:rPr>
          <w:rFonts w:ascii="Times New Roman" w:hAnsi="Times New Roman" w:cs="Times New Roman"/>
        </w:rPr>
        <w:t>–4</w:t>
      </w:r>
      <w:r>
        <w:rPr>
          <w:rFonts w:ascii="Times New Roman" w:hAnsi="Times New Roman" w:cs="Times New Roman"/>
        </w:rPr>
        <w:t>.  The Environmental Division correctly rejected this proposal as plainly contra</w:t>
      </w:r>
      <w:r w:rsidR="005C61CC">
        <w:rPr>
          <w:rFonts w:ascii="Times New Roman" w:hAnsi="Times New Roman" w:cs="Times New Roman"/>
        </w:rPr>
        <w:t>di</w:t>
      </w:r>
      <w:r>
        <w:rPr>
          <w:rFonts w:ascii="Times New Roman" w:hAnsi="Times New Roman" w:cs="Times New Roman"/>
        </w:rPr>
        <w:t xml:space="preserve">cted by the undisputed facts and ANR’s own policy and documents.  </w:t>
      </w:r>
      <w:r>
        <w:rPr>
          <w:rFonts w:ascii="Times New Roman" w:hAnsi="Times New Roman" w:cs="Times New Roman"/>
          <w:i/>
        </w:rPr>
        <w:t>Id.</w:t>
      </w:r>
      <w:r w:rsidR="00D65506">
        <w:rPr>
          <w:rFonts w:ascii="Times New Roman" w:hAnsi="Times New Roman" w:cs="Times New Roman"/>
        </w:rPr>
        <w:t xml:space="preserve">  Instead of conceding this area, ANR has continued to object to whitewater boating and has sought to parse the use by suggesting that scheduled releases are not an essential part of it.</w:t>
      </w:r>
      <w:r>
        <w:rPr>
          <w:rFonts w:ascii="Times New Roman" w:hAnsi="Times New Roman" w:cs="Times New Roman"/>
        </w:rPr>
        <w:t xml:space="preserve">  </w:t>
      </w:r>
    </w:p>
    <w:p w14:paraId="066EEB9B" w14:textId="68ECB3EC" w:rsidR="000453C6" w:rsidRDefault="00D65506" w:rsidP="003D51EB">
      <w:pPr>
        <w:rPr>
          <w:rFonts w:ascii="Times New Roman" w:hAnsi="Times New Roman" w:cs="Times New Roman"/>
        </w:rPr>
      </w:pPr>
      <w:r>
        <w:rPr>
          <w:rFonts w:ascii="Times New Roman" w:hAnsi="Times New Roman" w:cs="Times New Roman"/>
        </w:rPr>
        <w:t xml:space="preserve">This position advanced by ANR was soundly refuted on the record.  </w:t>
      </w:r>
      <w:r w:rsidR="007D3AF2" w:rsidRPr="008F07F2">
        <w:rPr>
          <w:rFonts w:ascii="Times New Roman" w:hAnsi="Times New Roman" w:cs="Times New Roman"/>
        </w:rPr>
        <w:t xml:space="preserve">At the Environmental Division trial, AW/VPC presented compelling evidence showing that whitewater boating is an existing use on the Green River based on ANR’s own 2016 Tactical Basin Plan for the Lamoille River Watershed, the Whitewater Boating Study conducted by MWL as part of its application for a FERC license, and testimony from witnesses at trial.  PC at </w:t>
      </w:r>
      <w:r w:rsidR="002346AB" w:rsidRPr="008F07F2">
        <w:rPr>
          <w:rFonts w:ascii="Times New Roman" w:hAnsi="Times New Roman" w:cs="Times New Roman"/>
        </w:rPr>
        <w:t>16, 200;</w:t>
      </w:r>
      <w:r w:rsidR="005C61CC">
        <w:rPr>
          <w:rFonts w:ascii="Times New Roman" w:hAnsi="Times New Roman" w:cs="Times New Roman"/>
        </w:rPr>
        <w:t xml:space="preserve"> SPC at</w:t>
      </w:r>
      <w:r w:rsidR="00022954">
        <w:rPr>
          <w:rFonts w:ascii="Times New Roman" w:hAnsi="Times New Roman" w:cs="Times New Roman"/>
        </w:rPr>
        <w:t xml:space="preserve"> 10, 17–18;</w:t>
      </w:r>
      <w:r w:rsidR="002346AB" w:rsidRPr="008F07F2">
        <w:rPr>
          <w:rFonts w:ascii="Times New Roman" w:hAnsi="Times New Roman" w:cs="Times New Roman"/>
        </w:rPr>
        <w:t xml:space="preserve"> Tr</w:t>
      </w:r>
      <w:r w:rsidR="007D3AF2" w:rsidRPr="008F07F2">
        <w:rPr>
          <w:rFonts w:ascii="Times New Roman" w:hAnsi="Times New Roman" w:cs="Times New Roman"/>
        </w:rPr>
        <w:t>. (04.03.2018) at 75, (04.04.2018) at 146,</w:t>
      </w:r>
      <w:r w:rsidR="00436B89">
        <w:rPr>
          <w:rFonts w:ascii="Times New Roman" w:hAnsi="Times New Roman" w:cs="Times New Roman"/>
        </w:rPr>
        <w:t xml:space="preserve"> </w:t>
      </w:r>
      <w:r w:rsidR="007D3AF2" w:rsidRPr="008F07F2">
        <w:rPr>
          <w:rFonts w:ascii="Times New Roman" w:hAnsi="Times New Roman" w:cs="Times New Roman"/>
        </w:rPr>
        <w:t xml:space="preserve">(04.09.2018) at 73–74, 180–81.  Notably, the Basin Plan identifies whitewater boating as an existing use on the Green River and characterizes whitewater boating on this river reach as “Highly Important”, containing “outstanding scenery and rapids, used by expert paddlers, only river in the State with potential to support recreational releases on a steep creek.”  PC at 200. </w:t>
      </w:r>
      <w:r w:rsidR="000453C6">
        <w:rPr>
          <w:rFonts w:ascii="Times New Roman" w:hAnsi="Times New Roman" w:cs="Times New Roman"/>
        </w:rPr>
        <w:t xml:space="preserve"> </w:t>
      </w:r>
    </w:p>
    <w:p w14:paraId="1E2EE629" w14:textId="748F3F80" w:rsidR="007D3AF2" w:rsidRPr="00DC7C81" w:rsidRDefault="000453C6" w:rsidP="003D51EB">
      <w:pPr>
        <w:rPr>
          <w:rFonts w:ascii="Times New Roman" w:hAnsi="Times New Roman" w:cs="Times New Roman"/>
          <w:i/>
        </w:rPr>
      </w:pPr>
      <w:r>
        <w:rPr>
          <w:rFonts w:ascii="Times New Roman" w:hAnsi="Times New Roman" w:cs="Times New Roman"/>
        </w:rPr>
        <w:t xml:space="preserve">AW/VPC also presented compelling evidence to show that whitewater boating </w:t>
      </w:r>
      <w:r w:rsidR="00DC7C81">
        <w:rPr>
          <w:rFonts w:ascii="Times New Roman" w:hAnsi="Times New Roman" w:cs="Times New Roman"/>
        </w:rPr>
        <w:t xml:space="preserve">as a use </w:t>
      </w:r>
      <w:r>
        <w:rPr>
          <w:rFonts w:ascii="Times New Roman" w:hAnsi="Times New Roman" w:cs="Times New Roman"/>
        </w:rPr>
        <w:t>relies on the predictability and planning afforded through the established scheduled release program.  Tr. (04.05.2018) at 20</w:t>
      </w:r>
      <w:r>
        <w:rPr>
          <w:rFonts w:ascii="Times New Roman" w:hAnsi="Times New Roman" w:cs="Times New Roman"/>
        </w:rPr>
        <w:softHyphen/>
        <w:t>27, 40–44.  The unrebutted testimony established that scheduled releases were integral to the use</w:t>
      </w:r>
      <w:r w:rsidR="00DC7C81">
        <w:rPr>
          <w:rFonts w:ascii="Times New Roman" w:hAnsi="Times New Roman" w:cs="Times New Roman"/>
        </w:rPr>
        <w:t xml:space="preserve"> and its popular enjoyment, which included hundreds of boaters each year</w:t>
      </w:r>
      <w:r>
        <w:rPr>
          <w:rFonts w:ascii="Times New Roman" w:hAnsi="Times New Roman" w:cs="Times New Roman"/>
        </w:rPr>
        <w:t>.</w:t>
      </w:r>
      <w:r w:rsidR="00DC7C81">
        <w:rPr>
          <w:rFonts w:ascii="Times New Roman" w:hAnsi="Times New Roman" w:cs="Times New Roman"/>
        </w:rPr>
        <w:t xml:space="preserve">  </w:t>
      </w:r>
      <w:r w:rsidR="00DC7C81">
        <w:rPr>
          <w:rFonts w:ascii="Times New Roman" w:hAnsi="Times New Roman" w:cs="Times New Roman"/>
          <w:i/>
        </w:rPr>
        <w:t>Id.</w:t>
      </w:r>
      <w:r>
        <w:rPr>
          <w:rFonts w:ascii="Times New Roman" w:hAnsi="Times New Roman" w:cs="Times New Roman"/>
        </w:rPr>
        <w:t xml:space="preserve">  While some individuals would still whitewater without the scheduled releases, </w:t>
      </w:r>
      <w:r w:rsidR="00DC7C81">
        <w:rPr>
          <w:rFonts w:ascii="Times New Roman" w:hAnsi="Times New Roman" w:cs="Times New Roman"/>
        </w:rPr>
        <w:t>the</w:t>
      </w:r>
      <w:r w:rsidR="00A0741E">
        <w:rPr>
          <w:rFonts w:ascii="Times New Roman" w:hAnsi="Times New Roman" w:cs="Times New Roman"/>
        </w:rPr>
        <w:t xml:space="preserve"> cancellation would con</w:t>
      </w:r>
      <w:r w:rsidR="00DC7C81">
        <w:rPr>
          <w:rFonts w:ascii="Times New Roman" w:hAnsi="Times New Roman" w:cs="Times New Roman"/>
        </w:rPr>
        <w:t xml:space="preserve">stitute a substantial hardship that would limit the activity </w:t>
      </w:r>
      <w:r>
        <w:rPr>
          <w:rFonts w:ascii="Times New Roman" w:hAnsi="Times New Roman" w:cs="Times New Roman"/>
        </w:rPr>
        <w:t xml:space="preserve">to those few </w:t>
      </w:r>
      <w:r>
        <w:rPr>
          <w:rFonts w:ascii="Times New Roman" w:hAnsi="Times New Roman" w:cs="Times New Roman"/>
        </w:rPr>
        <w:lastRenderedPageBreak/>
        <w:t xml:space="preserve">individuals with the time and ability to monitor natural conditions and go to the river on short notice.  </w:t>
      </w:r>
      <w:r>
        <w:rPr>
          <w:rFonts w:ascii="Times New Roman" w:hAnsi="Times New Roman" w:cs="Times New Roman"/>
          <w:i/>
        </w:rPr>
        <w:t xml:space="preserve">Id. </w:t>
      </w:r>
      <w:r>
        <w:rPr>
          <w:rFonts w:ascii="Times New Roman" w:hAnsi="Times New Roman" w:cs="Times New Roman"/>
        </w:rPr>
        <w:t xml:space="preserve"> Removing scheduled releases would curtail and</w:t>
      </w:r>
      <w:r w:rsidR="00DC7C81">
        <w:rPr>
          <w:rFonts w:ascii="Times New Roman" w:hAnsi="Times New Roman" w:cs="Times New Roman"/>
        </w:rPr>
        <w:t xml:space="preserve"> sharply limit the existing use.   </w:t>
      </w:r>
      <w:r w:rsidR="00DC7C81">
        <w:rPr>
          <w:rFonts w:ascii="Times New Roman" w:hAnsi="Times New Roman" w:cs="Times New Roman"/>
          <w:i/>
        </w:rPr>
        <w:t>Id.</w:t>
      </w:r>
    </w:p>
    <w:p w14:paraId="08407236" w14:textId="05839D45" w:rsidR="007D3AF2" w:rsidRPr="008F07F2" w:rsidRDefault="007D3AF2" w:rsidP="003D51EB">
      <w:pPr>
        <w:rPr>
          <w:rFonts w:ascii="Times New Roman" w:hAnsi="Times New Roman" w:cs="Times New Roman"/>
        </w:rPr>
      </w:pPr>
      <w:r w:rsidRPr="008F07F2">
        <w:rPr>
          <w:rFonts w:ascii="Times New Roman" w:hAnsi="Times New Roman" w:cs="Times New Roman"/>
        </w:rPr>
        <w:t>In its ruling, the Environmental Division found that “[w]</w:t>
      </w:r>
      <w:proofErr w:type="spellStart"/>
      <w:r w:rsidRPr="008F07F2">
        <w:rPr>
          <w:rFonts w:ascii="Times New Roman" w:hAnsi="Times New Roman" w:cs="Times New Roman"/>
        </w:rPr>
        <w:t>hitewater</w:t>
      </w:r>
      <w:proofErr w:type="spellEnd"/>
      <w:r w:rsidRPr="008F07F2">
        <w:rPr>
          <w:rFonts w:ascii="Times New Roman" w:hAnsi="Times New Roman" w:cs="Times New Roman"/>
        </w:rPr>
        <w:t xml:space="preserve"> boating generally and boating on scheduled releases (together, whitewater boating) are existing uses of the Green River,” and that “[w]</w:t>
      </w:r>
      <w:proofErr w:type="spellStart"/>
      <w:r w:rsidRPr="008F07F2">
        <w:rPr>
          <w:rFonts w:ascii="Times New Roman" w:hAnsi="Times New Roman" w:cs="Times New Roman"/>
        </w:rPr>
        <w:t>hitewater</w:t>
      </w:r>
      <w:proofErr w:type="spellEnd"/>
      <w:r w:rsidRPr="008F07F2">
        <w:rPr>
          <w:rFonts w:ascii="Times New Roman" w:hAnsi="Times New Roman" w:cs="Times New Roman"/>
        </w:rPr>
        <w:t xml:space="preserve"> boating occurs year-round both naturally occurring high flow events and scheduled releases.”  PC at </w:t>
      </w:r>
      <w:r w:rsidR="002346AB" w:rsidRPr="008F07F2">
        <w:rPr>
          <w:rFonts w:ascii="Times New Roman" w:hAnsi="Times New Roman" w:cs="Times New Roman"/>
        </w:rPr>
        <w:t>16</w:t>
      </w:r>
      <w:r w:rsidR="00436B89">
        <w:rPr>
          <w:rFonts w:ascii="Times New Roman" w:hAnsi="Times New Roman" w:cs="Times New Roman"/>
        </w:rPr>
        <w:t>.  Based on the</w:t>
      </w:r>
      <w:r w:rsidRPr="008F07F2">
        <w:rPr>
          <w:rFonts w:ascii="Times New Roman" w:hAnsi="Times New Roman" w:cs="Times New Roman"/>
        </w:rPr>
        <w:t xml:space="preserve"> evidence </w:t>
      </w:r>
      <w:r w:rsidR="00436B89">
        <w:rPr>
          <w:rFonts w:ascii="Times New Roman" w:hAnsi="Times New Roman" w:cs="Times New Roman"/>
        </w:rPr>
        <w:t xml:space="preserve">presented </w:t>
      </w:r>
      <w:r w:rsidRPr="008F07F2">
        <w:rPr>
          <w:rFonts w:ascii="Times New Roman" w:hAnsi="Times New Roman" w:cs="Times New Roman"/>
        </w:rPr>
        <w:t>and the lack of any evidence</w:t>
      </w:r>
      <w:r w:rsidR="00436B89">
        <w:rPr>
          <w:rFonts w:ascii="Times New Roman" w:hAnsi="Times New Roman" w:cs="Times New Roman"/>
        </w:rPr>
        <w:t xml:space="preserve"> or testimony</w:t>
      </w:r>
      <w:r w:rsidRPr="008F07F2">
        <w:rPr>
          <w:rFonts w:ascii="Times New Roman" w:hAnsi="Times New Roman" w:cs="Times New Roman"/>
        </w:rPr>
        <w:t xml:space="preserve"> from ANR that would support curtailing whitewater activities, the Court found that the only way to protect the existing </w:t>
      </w:r>
      <w:r w:rsidR="00D54D86">
        <w:rPr>
          <w:rFonts w:ascii="Times New Roman" w:hAnsi="Times New Roman" w:cs="Times New Roman"/>
        </w:rPr>
        <w:t xml:space="preserve">use of </w:t>
      </w:r>
      <w:r w:rsidRPr="008F07F2">
        <w:rPr>
          <w:rFonts w:ascii="Times New Roman" w:hAnsi="Times New Roman" w:cs="Times New Roman"/>
        </w:rPr>
        <w:t xml:space="preserve">whitewater boating would be </w:t>
      </w:r>
      <w:r w:rsidR="00D54D86">
        <w:rPr>
          <w:rFonts w:ascii="Times New Roman" w:hAnsi="Times New Roman" w:cs="Times New Roman"/>
        </w:rPr>
        <w:t xml:space="preserve">to </w:t>
      </w:r>
      <w:r w:rsidRPr="008F07F2">
        <w:rPr>
          <w:rFonts w:ascii="Times New Roman" w:hAnsi="Times New Roman" w:cs="Times New Roman"/>
        </w:rPr>
        <w:t xml:space="preserve">allow three seasonally appropriate releases.  PC at 69.  While Appellees AW/VPC believe that the river could sustain additional releases without detriment to the river ecosystems and water quality, they recognize that the Court’s findings and conclusions on this matter are based squarely on the evidence with all due deference to the </w:t>
      </w:r>
      <w:r w:rsidR="00442FAD" w:rsidRPr="008F07F2">
        <w:rPr>
          <w:rFonts w:ascii="Times New Roman" w:hAnsi="Times New Roman" w:cs="Times New Roman"/>
        </w:rPr>
        <w:t>CWA</w:t>
      </w:r>
      <w:r w:rsidRPr="008F07F2">
        <w:rPr>
          <w:rFonts w:ascii="Times New Roman" w:hAnsi="Times New Roman" w:cs="Times New Roman"/>
        </w:rPr>
        <w:t xml:space="preserve"> and ANR’s most reasonable interpretations. </w:t>
      </w:r>
    </w:p>
    <w:p w14:paraId="2B6A47C0" w14:textId="77777777" w:rsidR="007D3AF2" w:rsidRPr="008F07F2" w:rsidRDefault="007D3AF2" w:rsidP="000B5427">
      <w:pPr>
        <w:pStyle w:val="Heading2"/>
      </w:pPr>
      <w:bookmarkStart w:id="4" w:name="_Toc535838870"/>
      <w:r w:rsidRPr="008F07F2">
        <w:t>Whitewater Boating in the Present Appeal</w:t>
      </w:r>
      <w:r w:rsidR="00D90DA6" w:rsidRPr="008F07F2">
        <w:t>.</w:t>
      </w:r>
      <w:bookmarkEnd w:id="4"/>
    </w:p>
    <w:p w14:paraId="274F6B31" w14:textId="22BDADB5" w:rsidR="00081299" w:rsidRPr="008F07F2" w:rsidRDefault="00081299" w:rsidP="003D51EB">
      <w:pPr>
        <w:rPr>
          <w:rFonts w:ascii="Times New Roman" w:hAnsi="Times New Roman" w:cs="Times New Roman"/>
        </w:rPr>
      </w:pPr>
      <w:r w:rsidRPr="008F07F2">
        <w:rPr>
          <w:rFonts w:ascii="Times New Roman" w:hAnsi="Times New Roman" w:cs="Times New Roman"/>
        </w:rPr>
        <w:t>Following t</w:t>
      </w:r>
      <w:r w:rsidR="00B77908" w:rsidRPr="008F07F2">
        <w:rPr>
          <w:rFonts w:ascii="Times New Roman" w:hAnsi="Times New Roman" w:cs="Times New Roman"/>
        </w:rPr>
        <w:t>he Environmental Division trial</w:t>
      </w:r>
      <w:r w:rsidR="00E90534">
        <w:rPr>
          <w:rFonts w:ascii="Times New Roman" w:hAnsi="Times New Roman" w:cs="Times New Roman"/>
        </w:rPr>
        <w:t>,</w:t>
      </w:r>
      <w:r w:rsidRPr="008F07F2">
        <w:rPr>
          <w:rFonts w:ascii="Times New Roman" w:hAnsi="Times New Roman" w:cs="Times New Roman"/>
        </w:rPr>
        <w:t xml:space="preserve"> ANR now agrees, as do all other parties to this appeal, that whitewater boating on the Green River is an existing use as that term is defined in the CWA.  PC at 24</w:t>
      </w:r>
      <w:r w:rsidR="007D3AF2" w:rsidRPr="008F07F2">
        <w:rPr>
          <w:rFonts w:ascii="Times New Roman" w:hAnsi="Times New Roman" w:cs="Times New Roman"/>
        </w:rPr>
        <w:t>; ANR Brief at 25.</w:t>
      </w:r>
      <w:r w:rsidRPr="008F07F2">
        <w:rPr>
          <w:rFonts w:ascii="Times New Roman" w:hAnsi="Times New Roman" w:cs="Times New Roman"/>
        </w:rPr>
        <w:t xml:space="preserve">  Yet, ANR</w:t>
      </w:r>
      <w:r w:rsidR="007D3AF2" w:rsidRPr="008F07F2">
        <w:rPr>
          <w:rFonts w:ascii="Times New Roman" w:hAnsi="Times New Roman" w:cs="Times New Roman"/>
        </w:rPr>
        <w:t xml:space="preserve"> now </w:t>
      </w:r>
      <w:r w:rsidR="00F81054" w:rsidRPr="008F07F2">
        <w:rPr>
          <w:rFonts w:ascii="Times New Roman" w:hAnsi="Times New Roman" w:cs="Times New Roman"/>
        </w:rPr>
        <w:t xml:space="preserve">suggests that whitewater boating conflicts with designated uses, including aquatic biota, wildlife, and aquatic habitat, and </w:t>
      </w:r>
      <w:r w:rsidR="007D3AF2" w:rsidRPr="008F07F2">
        <w:rPr>
          <w:rFonts w:ascii="Times New Roman" w:hAnsi="Times New Roman" w:cs="Times New Roman"/>
        </w:rPr>
        <w:t xml:space="preserve">submits that </w:t>
      </w:r>
      <w:r w:rsidR="00A513EC" w:rsidRPr="008F07F2">
        <w:rPr>
          <w:rFonts w:ascii="Times New Roman" w:hAnsi="Times New Roman" w:cs="Times New Roman"/>
        </w:rPr>
        <w:t xml:space="preserve">(1) existing uses are only entitled to limited protection; </w:t>
      </w:r>
      <w:r w:rsidR="00F81054" w:rsidRPr="008F07F2">
        <w:rPr>
          <w:rFonts w:ascii="Times New Roman" w:hAnsi="Times New Roman" w:cs="Times New Roman"/>
        </w:rPr>
        <w:t>and (2</w:t>
      </w:r>
      <w:r w:rsidR="00A513EC" w:rsidRPr="008F07F2">
        <w:rPr>
          <w:rFonts w:ascii="Times New Roman" w:hAnsi="Times New Roman" w:cs="Times New Roman"/>
        </w:rPr>
        <w:t xml:space="preserve">) the WQC therefore can and should curtail whitewater boating. </w:t>
      </w:r>
      <w:r w:rsidR="00E90534">
        <w:rPr>
          <w:rFonts w:ascii="Times New Roman" w:hAnsi="Times New Roman" w:cs="Times New Roman"/>
        </w:rPr>
        <w:t xml:space="preserve"> </w:t>
      </w:r>
      <w:r w:rsidR="00E90534">
        <w:rPr>
          <w:rFonts w:ascii="Times New Roman" w:hAnsi="Times New Roman" w:cs="Times New Roman"/>
          <w:i/>
        </w:rPr>
        <w:t xml:space="preserve">Id. </w:t>
      </w:r>
      <w:r w:rsidR="00A513EC" w:rsidRPr="008F07F2">
        <w:rPr>
          <w:rFonts w:ascii="Times New Roman" w:hAnsi="Times New Roman" w:cs="Times New Roman"/>
        </w:rPr>
        <w:t xml:space="preserve"> </w:t>
      </w:r>
      <w:r w:rsidR="00E90534">
        <w:rPr>
          <w:rFonts w:ascii="Times New Roman" w:hAnsi="Times New Roman" w:cs="Times New Roman"/>
        </w:rPr>
        <w:t xml:space="preserve">This position is based on a misapplication </w:t>
      </w:r>
      <w:r w:rsidR="00A513EC" w:rsidRPr="008F07F2">
        <w:rPr>
          <w:rFonts w:ascii="Times New Roman" w:hAnsi="Times New Roman" w:cs="Times New Roman"/>
        </w:rPr>
        <w:t xml:space="preserve">of the facts, because the evidence at trial demonstrated that there is no conflict between whitewater boating and designated uses.  It is also a misconstruction of the law, because existing uses are entitled to </w:t>
      </w:r>
      <w:r w:rsidR="009026F1" w:rsidRPr="008F07F2">
        <w:rPr>
          <w:rFonts w:ascii="Times New Roman" w:hAnsi="Times New Roman" w:cs="Times New Roman"/>
        </w:rPr>
        <w:t xml:space="preserve">the same </w:t>
      </w:r>
      <w:r w:rsidR="00A513EC" w:rsidRPr="008F07F2">
        <w:rPr>
          <w:rFonts w:ascii="Times New Roman" w:hAnsi="Times New Roman" w:cs="Times New Roman"/>
        </w:rPr>
        <w:t>full protection</w:t>
      </w:r>
      <w:r w:rsidR="009026F1" w:rsidRPr="008F07F2">
        <w:rPr>
          <w:rFonts w:ascii="Times New Roman" w:hAnsi="Times New Roman" w:cs="Times New Roman"/>
        </w:rPr>
        <w:t xml:space="preserve"> as any designated uses</w:t>
      </w:r>
      <w:r w:rsidR="00A513EC" w:rsidRPr="008F07F2">
        <w:rPr>
          <w:rFonts w:ascii="Times New Roman" w:hAnsi="Times New Roman" w:cs="Times New Roman"/>
        </w:rPr>
        <w:t xml:space="preserve">.  </w:t>
      </w:r>
      <w:r w:rsidRPr="008F07F2">
        <w:rPr>
          <w:rFonts w:ascii="Times New Roman" w:hAnsi="Times New Roman" w:cs="Times New Roman"/>
        </w:rPr>
        <w:t xml:space="preserve"> </w:t>
      </w:r>
    </w:p>
    <w:p w14:paraId="2CCFF37F" w14:textId="50083403" w:rsidR="00081299" w:rsidRPr="008F07F2" w:rsidRDefault="00081299" w:rsidP="003D51EB">
      <w:pPr>
        <w:rPr>
          <w:rFonts w:ascii="Times New Roman" w:hAnsi="Times New Roman" w:cs="Times New Roman"/>
        </w:rPr>
      </w:pPr>
      <w:r w:rsidRPr="008F07F2">
        <w:rPr>
          <w:rFonts w:ascii="Times New Roman" w:hAnsi="Times New Roman" w:cs="Times New Roman"/>
        </w:rPr>
        <w:t xml:space="preserve">Although ANR now nominally recognizes whitewater boating as an existing use, </w:t>
      </w:r>
      <w:r w:rsidR="009026F1" w:rsidRPr="008F07F2">
        <w:rPr>
          <w:rFonts w:ascii="Times New Roman" w:hAnsi="Times New Roman" w:cs="Times New Roman"/>
        </w:rPr>
        <w:t xml:space="preserve">its proposed </w:t>
      </w:r>
      <w:r w:rsidRPr="008F07F2">
        <w:rPr>
          <w:rFonts w:ascii="Times New Roman" w:hAnsi="Times New Roman" w:cs="Times New Roman"/>
        </w:rPr>
        <w:t>WQC does not treat it as such.  Instead, the WQC</w:t>
      </w:r>
      <w:r w:rsidR="009026F1" w:rsidRPr="008F07F2">
        <w:rPr>
          <w:rFonts w:ascii="Times New Roman" w:hAnsi="Times New Roman" w:cs="Times New Roman"/>
        </w:rPr>
        <w:t xml:space="preserve"> championed by ANR in its brief </w:t>
      </w:r>
      <w:r w:rsidRPr="008F07F2">
        <w:rPr>
          <w:rFonts w:ascii="Times New Roman" w:hAnsi="Times New Roman" w:cs="Times New Roman"/>
        </w:rPr>
        <w:t xml:space="preserve">would </w:t>
      </w:r>
      <w:r w:rsidRPr="008F07F2">
        <w:rPr>
          <w:rFonts w:ascii="Times New Roman" w:hAnsi="Times New Roman" w:cs="Times New Roman"/>
        </w:rPr>
        <w:lastRenderedPageBreak/>
        <w:t>effectively end whitewater boating as an activity on the Green River</w:t>
      </w:r>
      <w:r w:rsidR="00E90534">
        <w:rPr>
          <w:rFonts w:ascii="Times New Roman" w:hAnsi="Times New Roman" w:cs="Times New Roman"/>
        </w:rPr>
        <w:t xml:space="preserve"> by ending scheduled releases and requiring MWL to artificially hold</w:t>
      </w:r>
      <w:r w:rsidR="005C61CC">
        <w:rPr>
          <w:rFonts w:ascii="Times New Roman" w:hAnsi="Times New Roman" w:cs="Times New Roman"/>
        </w:rPr>
        <w:t xml:space="preserve"> </w:t>
      </w:r>
      <w:r w:rsidR="00E90534">
        <w:rPr>
          <w:rFonts w:ascii="Times New Roman" w:hAnsi="Times New Roman" w:cs="Times New Roman"/>
        </w:rPr>
        <w:t>back seasonally appropriate flows within the reservoir</w:t>
      </w:r>
      <w:r w:rsidRPr="008F07F2">
        <w:rPr>
          <w:rFonts w:ascii="Times New Roman" w:hAnsi="Times New Roman" w:cs="Times New Roman"/>
        </w:rPr>
        <w:t xml:space="preserve">.  </w:t>
      </w:r>
    </w:p>
    <w:p w14:paraId="40BD078F" w14:textId="77777777" w:rsidR="00FA1899" w:rsidRPr="008F07F2" w:rsidRDefault="00C1053C" w:rsidP="003D51EB">
      <w:pPr>
        <w:pStyle w:val="Heading1"/>
        <w:rPr>
          <w:rFonts w:ascii="Times New Roman" w:hAnsi="Times New Roman" w:cs="Times New Roman"/>
        </w:rPr>
      </w:pPr>
      <w:bookmarkStart w:id="5" w:name="_Toc535838871"/>
      <w:bookmarkStart w:id="6" w:name="_Hlk535403077"/>
      <w:r w:rsidRPr="008F07F2">
        <w:rPr>
          <w:rFonts w:ascii="Times New Roman" w:hAnsi="Times New Roman" w:cs="Times New Roman"/>
        </w:rPr>
        <w:t>STANDARD OF REVIEW</w:t>
      </w:r>
      <w:bookmarkEnd w:id="5"/>
    </w:p>
    <w:p w14:paraId="2ED7CA2C" w14:textId="77777777" w:rsidR="00FA1899" w:rsidRPr="008F07F2" w:rsidRDefault="00FA1899" w:rsidP="003D51EB">
      <w:pPr>
        <w:rPr>
          <w:rFonts w:ascii="Times New Roman" w:hAnsi="Times New Roman" w:cs="Times New Roman"/>
        </w:rPr>
      </w:pPr>
      <w:r w:rsidRPr="008F07F2">
        <w:rPr>
          <w:rFonts w:ascii="Times New Roman" w:hAnsi="Times New Roman" w:cs="Times New Roman"/>
        </w:rPr>
        <w:t xml:space="preserve">This Court reviews the lower court’s factual findings for clear error and its findings of law de novo.  </w:t>
      </w:r>
      <w:r w:rsidRPr="008F07F2">
        <w:rPr>
          <w:rFonts w:ascii="Times New Roman" w:hAnsi="Times New Roman" w:cs="Times New Roman"/>
          <w:i/>
          <w:highlight w:val="white"/>
        </w:rPr>
        <w:t xml:space="preserve">In re </w:t>
      </w:r>
      <w:proofErr w:type="spellStart"/>
      <w:r w:rsidRPr="008F07F2">
        <w:rPr>
          <w:rFonts w:ascii="Times New Roman" w:hAnsi="Times New Roman" w:cs="Times New Roman"/>
          <w:i/>
          <w:highlight w:val="white"/>
        </w:rPr>
        <w:t>Korrow</w:t>
      </w:r>
      <w:proofErr w:type="spellEnd"/>
      <w:r w:rsidRPr="008F07F2">
        <w:rPr>
          <w:rFonts w:ascii="Times New Roman" w:hAnsi="Times New Roman" w:cs="Times New Roman"/>
          <w:i/>
          <w:highlight w:val="white"/>
        </w:rPr>
        <w:t xml:space="preserve"> Real Estate, LLC Act 250 Permit Amendment Application</w:t>
      </w:r>
      <w:r w:rsidRPr="008F07F2">
        <w:rPr>
          <w:rFonts w:ascii="Times New Roman" w:hAnsi="Times New Roman" w:cs="Times New Roman"/>
          <w:highlight w:val="white"/>
        </w:rPr>
        <w:t xml:space="preserve">, 2018 VT 39, </w:t>
      </w:r>
      <w:r w:rsidR="000B5427" w:rsidRPr="008F07F2">
        <w:rPr>
          <w:rFonts w:ascii="Times New Roman" w:hAnsi="Times New Roman" w:cs="Times New Roman"/>
        </w:rPr>
        <w:t>¶ </w:t>
      </w:r>
      <w:r w:rsidRPr="008F07F2">
        <w:rPr>
          <w:rFonts w:ascii="Times New Roman" w:hAnsi="Times New Roman" w:cs="Times New Roman"/>
        </w:rPr>
        <w:t>17, 187 A.3d 1125</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highlight w:val="white"/>
        </w:rPr>
        <w:instrText>In re Korrow Real Estate, LLC Act 250 Permit Amendment Application</w:instrText>
      </w:r>
      <w:r w:rsidR="00D03FB1" w:rsidRPr="008F07F2">
        <w:rPr>
          <w:rFonts w:ascii="Times New Roman" w:hAnsi="Times New Roman" w:cs="Times New Roman"/>
          <w:highlight w:val="white"/>
        </w:rPr>
        <w:instrText>, 2018 VT 39</w:instrText>
      </w:r>
      <w:r w:rsidR="00D03FB1" w:rsidRPr="008F07F2">
        <w:rPr>
          <w:rFonts w:ascii="Times New Roman" w:hAnsi="Times New Roman" w:cs="Times New Roman"/>
        </w:rPr>
        <w:instrText xml:space="preserve">, 187 A.3d 1125" \s "Korrow" \c 1 </w:instrText>
      </w:r>
      <w:r w:rsidR="00D03FB1" w:rsidRPr="008F07F2">
        <w:rPr>
          <w:rFonts w:ascii="Times New Roman" w:hAnsi="Times New Roman" w:cs="Times New Roman"/>
        </w:rPr>
        <w:fldChar w:fldCharType="end"/>
      </w:r>
      <w:r w:rsidRPr="008F07F2">
        <w:rPr>
          <w:rFonts w:ascii="Times New Roman" w:hAnsi="Times New Roman" w:cs="Times New Roman"/>
        </w:rPr>
        <w:t xml:space="preserve"> (citing </w:t>
      </w:r>
      <w:r w:rsidRPr="008F07F2">
        <w:rPr>
          <w:rFonts w:ascii="Times New Roman" w:hAnsi="Times New Roman" w:cs="Times New Roman"/>
          <w:i/>
        </w:rPr>
        <w:t xml:space="preserve">In re </w:t>
      </w:r>
      <w:proofErr w:type="spellStart"/>
      <w:r w:rsidRPr="008F07F2">
        <w:rPr>
          <w:rFonts w:ascii="Times New Roman" w:hAnsi="Times New Roman" w:cs="Times New Roman"/>
          <w:i/>
        </w:rPr>
        <w:t>Vill</w:t>
      </w:r>
      <w:proofErr w:type="spellEnd"/>
      <w:r w:rsidRPr="008F07F2">
        <w:rPr>
          <w:rFonts w:ascii="Times New Roman" w:hAnsi="Times New Roman" w:cs="Times New Roman"/>
          <w:i/>
        </w:rPr>
        <w:t>. Assocs. Act 250 Land Use Permit</w:t>
      </w:r>
      <w:r w:rsidRPr="008F07F2">
        <w:rPr>
          <w:rFonts w:ascii="Times New Roman" w:hAnsi="Times New Roman" w:cs="Times New Roman"/>
        </w:rPr>
        <w:t>, 2010 VT 42A, ¶ 7, 188 Vt. 113, 998 A.2d 712</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In re Vill. Assocs. Act 250 Land Use Permit</w:instrText>
      </w:r>
      <w:r w:rsidR="00D03FB1" w:rsidRPr="008F07F2">
        <w:rPr>
          <w:rFonts w:ascii="Times New Roman" w:hAnsi="Times New Roman" w:cs="Times New Roman"/>
        </w:rPr>
        <w:instrText xml:space="preserve">, 2010 VT 42A, ¶ 7, 188 Vt. 113, 998 A.2d 712" \s "Vill. Assocs." \c 1 </w:instrText>
      </w:r>
      <w:r w:rsidR="00D03FB1" w:rsidRPr="008F07F2">
        <w:rPr>
          <w:rFonts w:ascii="Times New Roman" w:hAnsi="Times New Roman" w:cs="Times New Roman"/>
        </w:rPr>
        <w:fldChar w:fldCharType="end"/>
      </w:r>
      <w:r w:rsidRPr="008F07F2">
        <w:rPr>
          <w:rFonts w:ascii="Times New Roman" w:hAnsi="Times New Roman" w:cs="Times New Roman"/>
        </w:rPr>
        <w:t xml:space="preserve">).  This Court will only determine the lower court’s factual findings are clearly erroneous in limited circumstances and “only if they are supported by no credible evidence that a reasonable person would rely upon to support the conclusions.”  </w:t>
      </w:r>
      <w:r w:rsidRPr="008F07F2">
        <w:rPr>
          <w:rFonts w:ascii="Times New Roman" w:hAnsi="Times New Roman" w:cs="Times New Roman"/>
          <w:i/>
        </w:rPr>
        <w:t>In re Zaremba Grp. Act 250 Permit</w:t>
      </w:r>
      <w:r w:rsidRPr="008F07F2">
        <w:rPr>
          <w:rFonts w:ascii="Times New Roman" w:hAnsi="Times New Roman" w:cs="Times New Roman"/>
        </w:rPr>
        <w:t>, 2015 VT 88, ¶ 6, 199 Vt. 538, 127 A.3d 93</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In re Zaremba Grp. Act 250 Permit</w:instrText>
      </w:r>
      <w:r w:rsidR="00D03FB1" w:rsidRPr="008F07F2">
        <w:rPr>
          <w:rFonts w:ascii="Times New Roman" w:hAnsi="Times New Roman" w:cs="Times New Roman"/>
        </w:rPr>
        <w:instrText xml:space="preserve">, 2015 VT 88, 199 Vt. 538, 127 A.3d 93" \s "Zaremba" \c 1 </w:instrText>
      </w:r>
      <w:r w:rsidR="00D03FB1" w:rsidRPr="008F07F2">
        <w:rPr>
          <w:rFonts w:ascii="Times New Roman" w:hAnsi="Times New Roman" w:cs="Times New Roman"/>
        </w:rPr>
        <w:fldChar w:fldCharType="end"/>
      </w:r>
      <w:r w:rsidRPr="008F07F2">
        <w:rPr>
          <w:rFonts w:ascii="Times New Roman" w:hAnsi="Times New Roman" w:cs="Times New Roman"/>
        </w:rPr>
        <w:t xml:space="preserve">, </w:t>
      </w:r>
      <w:r w:rsidRPr="008F07F2">
        <w:rPr>
          <w:rFonts w:ascii="Times New Roman" w:hAnsi="Times New Roman" w:cs="Times New Roman"/>
          <w:i/>
        </w:rPr>
        <w:t>cited in</w:t>
      </w:r>
      <w:r w:rsidRPr="008F07F2">
        <w:rPr>
          <w:rFonts w:ascii="Times New Roman" w:hAnsi="Times New Roman" w:cs="Times New Roman"/>
        </w:rPr>
        <w:t xml:space="preserve">, </w:t>
      </w:r>
      <w:proofErr w:type="spellStart"/>
      <w:r w:rsidRPr="008F07F2">
        <w:rPr>
          <w:rFonts w:ascii="Times New Roman" w:hAnsi="Times New Roman" w:cs="Times New Roman"/>
          <w:i/>
          <w:highlight w:val="white"/>
        </w:rPr>
        <w:t>Korrow</w:t>
      </w:r>
      <w:proofErr w:type="spellEnd"/>
      <w:r w:rsidRPr="008F07F2">
        <w:rPr>
          <w:rFonts w:ascii="Times New Roman" w:hAnsi="Times New Roman" w:cs="Times New Roman"/>
          <w:i/>
          <w:highlight w:val="white"/>
        </w:rPr>
        <w:t xml:space="preserve"> Real Estate</w:t>
      </w:r>
      <w:r w:rsidRPr="008F07F2">
        <w:rPr>
          <w:rFonts w:ascii="Times New Roman" w:hAnsi="Times New Roman" w:cs="Times New Roman"/>
          <w:highlight w:val="white"/>
        </w:rPr>
        <w:t xml:space="preserve">, 2018 VT 39, </w:t>
      </w:r>
      <w:r w:rsidR="00F81054" w:rsidRPr="008F07F2">
        <w:rPr>
          <w:rFonts w:ascii="Times New Roman" w:hAnsi="Times New Roman" w:cs="Times New Roman"/>
        </w:rPr>
        <w:t>¶ </w:t>
      </w:r>
      <w:r w:rsidRPr="008F07F2">
        <w:rPr>
          <w:rFonts w:ascii="Times New Roman" w:hAnsi="Times New Roman" w:cs="Times New Roman"/>
        </w:rPr>
        <w:t xml:space="preserve">17.  Legal conclusions are upheld “if they are reasonably supported by the findings.”  </w:t>
      </w:r>
      <w:r w:rsidRPr="008F07F2">
        <w:rPr>
          <w:rFonts w:ascii="Times New Roman" w:hAnsi="Times New Roman" w:cs="Times New Roman"/>
          <w:i/>
        </w:rPr>
        <w:t>Id</w:t>
      </w:r>
      <w:r w:rsidRPr="008F07F2">
        <w:rPr>
          <w:rFonts w:ascii="Times New Roman" w:hAnsi="Times New Roman" w:cs="Times New Roman"/>
        </w:rPr>
        <w:t>.</w:t>
      </w:r>
    </w:p>
    <w:p w14:paraId="2773CFEE" w14:textId="77777777" w:rsidR="00073C72" w:rsidRPr="008F07F2" w:rsidRDefault="00073C72" w:rsidP="003D51EB">
      <w:pPr>
        <w:rPr>
          <w:rFonts w:ascii="Times New Roman" w:hAnsi="Times New Roman" w:cs="Times New Roman"/>
        </w:rPr>
      </w:pPr>
      <w:r w:rsidRPr="008F07F2">
        <w:rPr>
          <w:rFonts w:ascii="Times New Roman" w:hAnsi="Times New Roman" w:cs="Times New Roman"/>
        </w:rPr>
        <w:t xml:space="preserve">ANR’s interpretations of its own regulations are entitled to some degree of deference, </w:t>
      </w:r>
      <w:r w:rsidRPr="008F07F2">
        <w:rPr>
          <w:rFonts w:ascii="Times New Roman" w:hAnsi="Times New Roman" w:cs="Times New Roman"/>
          <w:i/>
        </w:rPr>
        <w:t>In re ANR Permits in Lowell Mountain Wind Project</w:t>
      </w:r>
      <w:r w:rsidRPr="008F07F2">
        <w:rPr>
          <w:rFonts w:ascii="Times New Roman" w:hAnsi="Times New Roman" w:cs="Times New Roman"/>
        </w:rPr>
        <w:t>, 2014 VT 50, ¶ 14, 196 Vt. 467, 98 A.3d 16</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In re ANR Permits in Lowell Mountain Wind Project</w:instrText>
      </w:r>
      <w:r w:rsidR="00D03FB1" w:rsidRPr="008F07F2">
        <w:rPr>
          <w:rFonts w:ascii="Times New Roman" w:hAnsi="Times New Roman" w:cs="Times New Roman"/>
        </w:rPr>
        <w:instrText xml:space="preserve">, 2014 VT 50, 196 Vt. 467, 98 A.3d 16" \s "Lowell Mountain" \c 1 </w:instrText>
      </w:r>
      <w:r w:rsidR="00D03FB1" w:rsidRPr="008F07F2">
        <w:rPr>
          <w:rFonts w:ascii="Times New Roman" w:hAnsi="Times New Roman" w:cs="Times New Roman"/>
        </w:rPr>
        <w:fldChar w:fldCharType="end"/>
      </w:r>
      <w:r w:rsidRPr="008F07F2">
        <w:rPr>
          <w:rFonts w:ascii="Times New Roman" w:hAnsi="Times New Roman" w:cs="Times New Roman"/>
        </w:rPr>
        <w:t>, as are its interpre</w:t>
      </w:r>
      <w:r w:rsidR="00F81054" w:rsidRPr="008F07F2">
        <w:rPr>
          <w:rFonts w:ascii="Times New Roman" w:hAnsi="Times New Roman" w:cs="Times New Roman"/>
        </w:rPr>
        <w:t>tations of policy or methodologies</w:t>
      </w:r>
      <w:r w:rsidRPr="008F07F2">
        <w:rPr>
          <w:rFonts w:ascii="Times New Roman" w:hAnsi="Times New Roman" w:cs="Times New Roman"/>
        </w:rPr>
        <w:t xml:space="preserve"> within its expertise, </w:t>
      </w:r>
      <w:r w:rsidRPr="008F07F2">
        <w:rPr>
          <w:rFonts w:ascii="Times New Roman" w:hAnsi="Times New Roman" w:cs="Times New Roman"/>
          <w:i/>
        </w:rPr>
        <w:t>Plum Creek Maine Timberlands, LLC v. Vermont Dep't of Forests, Parks &amp; Recreation</w:t>
      </w:r>
      <w:r w:rsidRPr="008F07F2">
        <w:rPr>
          <w:rFonts w:ascii="Times New Roman" w:hAnsi="Times New Roman" w:cs="Times New Roman"/>
        </w:rPr>
        <w:t>, 2016 VT 103, ¶ 25, 203 Vt. 197, 155 A.3d 694</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Plum Creek Maine Timberlands, LLC v. Vermont Dep't of Forests, Parks &amp; Recreation</w:instrText>
      </w:r>
      <w:r w:rsidR="00D03FB1" w:rsidRPr="008F07F2">
        <w:rPr>
          <w:rFonts w:ascii="Times New Roman" w:hAnsi="Times New Roman" w:cs="Times New Roman"/>
        </w:rPr>
        <w:instrText xml:space="preserve">, 2016 VT 103, 203 Vt. 197, 155 A.3d 694" \s "Plum Creek" \c 1 </w:instrText>
      </w:r>
      <w:r w:rsidR="00D03FB1" w:rsidRPr="008F07F2">
        <w:rPr>
          <w:rFonts w:ascii="Times New Roman" w:hAnsi="Times New Roman" w:cs="Times New Roman"/>
        </w:rPr>
        <w:fldChar w:fldCharType="end"/>
      </w:r>
    </w:p>
    <w:p w14:paraId="20FC9E0D" w14:textId="77777777" w:rsidR="00966236" w:rsidRPr="008F07F2" w:rsidRDefault="00F81054" w:rsidP="00442FAD">
      <w:pPr>
        <w:rPr>
          <w:rFonts w:ascii="Times New Roman" w:hAnsi="Times New Roman" w:cs="Times New Roman"/>
        </w:rPr>
      </w:pPr>
      <w:r w:rsidRPr="008F07F2">
        <w:rPr>
          <w:rFonts w:ascii="Times New Roman" w:hAnsi="Times New Roman" w:cs="Times New Roman"/>
        </w:rPr>
        <w:t>The</w:t>
      </w:r>
      <w:r w:rsidR="00073C72" w:rsidRPr="008F07F2">
        <w:rPr>
          <w:rFonts w:ascii="Times New Roman" w:hAnsi="Times New Roman" w:cs="Times New Roman"/>
        </w:rPr>
        <w:t xml:space="preserve"> </w:t>
      </w:r>
      <w:r w:rsidRPr="008F07F2">
        <w:rPr>
          <w:rFonts w:ascii="Times New Roman" w:hAnsi="Times New Roman" w:cs="Times New Roman"/>
        </w:rPr>
        <w:t>deference that is due to ANR is not, however, without limits</w:t>
      </w:r>
      <w:r w:rsidR="00073C72" w:rsidRPr="008F07F2">
        <w:rPr>
          <w:rFonts w:ascii="Times New Roman" w:hAnsi="Times New Roman" w:cs="Times New Roman"/>
        </w:rPr>
        <w:t xml:space="preserve">.  </w:t>
      </w:r>
      <w:r w:rsidR="00442FAD" w:rsidRPr="008F07F2">
        <w:rPr>
          <w:rFonts w:ascii="Times New Roman" w:hAnsi="Times New Roman" w:cs="Times New Roman"/>
          <w:i/>
        </w:rPr>
        <w:t>In re Conservation Law Found.</w:t>
      </w:r>
      <w:r w:rsidR="00442FAD" w:rsidRPr="008F07F2">
        <w:rPr>
          <w:rFonts w:ascii="Times New Roman" w:hAnsi="Times New Roman" w:cs="Times New Roman"/>
        </w:rPr>
        <w:t>, 2018 VT 42, ¶ 16, 188 A.3d 667</w:t>
      </w:r>
      <w:r w:rsidR="00966236" w:rsidRPr="008F07F2">
        <w:rPr>
          <w:rFonts w:ascii="Times New Roman" w:hAnsi="Times New Roman" w:cs="Times New Roman"/>
        </w:rPr>
        <w:fldChar w:fldCharType="begin"/>
      </w:r>
      <w:r w:rsidR="00966236" w:rsidRPr="008F07F2">
        <w:rPr>
          <w:rFonts w:ascii="Times New Roman" w:hAnsi="Times New Roman" w:cs="Times New Roman"/>
        </w:rPr>
        <w:instrText xml:space="preserve"> TA \l "</w:instrText>
      </w:r>
      <w:r w:rsidR="00966236" w:rsidRPr="008F07F2">
        <w:rPr>
          <w:rFonts w:ascii="Times New Roman" w:hAnsi="Times New Roman" w:cs="Times New Roman"/>
          <w:i/>
        </w:rPr>
        <w:instrText>In re Conservation Law Found.</w:instrText>
      </w:r>
      <w:r w:rsidR="00966236" w:rsidRPr="008F07F2">
        <w:rPr>
          <w:rFonts w:ascii="Times New Roman" w:hAnsi="Times New Roman" w:cs="Times New Roman"/>
        </w:rPr>
        <w:instrText xml:space="preserve">, 2018 VT 42, 188 A.3d 667" \s "Conservation Law Found" \c 1 </w:instrText>
      </w:r>
      <w:r w:rsidR="00966236" w:rsidRPr="008F07F2">
        <w:rPr>
          <w:rFonts w:ascii="Times New Roman" w:hAnsi="Times New Roman" w:cs="Times New Roman"/>
        </w:rPr>
        <w:fldChar w:fldCharType="end"/>
      </w:r>
      <w:r w:rsidR="00966236" w:rsidRPr="008F07F2">
        <w:rPr>
          <w:rFonts w:ascii="Times New Roman" w:hAnsi="Times New Roman" w:cs="Times New Roman"/>
        </w:rPr>
        <w:t xml:space="preserve">.  </w:t>
      </w:r>
    </w:p>
    <w:p w14:paraId="1648223B" w14:textId="77777777" w:rsidR="000A5365" w:rsidRPr="008F07F2" w:rsidRDefault="000A5365" w:rsidP="00442FAD">
      <w:pPr>
        <w:rPr>
          <w:rFonts w:ascii="Times New Roman" w:hAnsi="Times New Roman" w:cs="Times New Roman"/>
        </w:rPr>
      </w:pPr>
      <w:r w:rsidRPr="008F07F2">
        <w:rPr>
          <w:rFonts w:ascii="Times New Roman" w:hAnsi="Times New Roman" w:cs="Times New Roman"/>
        </w:rPr>
        <w:t xml:space="preserve">First, there must be a reliable interpretation to which the Court can defer.  Examples of reliable interpretations include formally issued opinions, and consistent practices or procedures.  Unreliable interpretations, such as litigation positions, are not entitled to deference.  </w:t>
      </w:r>
      <w:r w:rsidRPr="008F07F2">
        <w:rPr>
          <w:rFonts w:ascii="Times New Roman" w:hAnsi="Times New Roman" w:cs="Times New Roman"/>
          <w:i/>
        </w:rPr>
        <w:t xml:space="preserve">Lewis v. </w:t>
      </w:r>
      <w:proofErr w:type="spellStart"/>
      <w:r w:rsidRPr="008F07F2">
        <w:rPr>
          <w:rFonts w:ascii="Times New Roman" w:hAnsi="Times New Roman" w:cs="Times New Roman"/>
          <w:i/>
        </w:rPr>
        <w:t>Grinker</w:t>
      </w:r>
      <w:proofErr w:type="spellEnd"/>
      <w:r w:rsidRPr="008F07F2">
        <w:rPr>
          <w:rFonts w:ascii="Times New Roman" w:hAnsi="Times New Roman" w:cs="Times New Roman"/>
        </w:rPr>
        <w:t>, 965 F.2d 1206, 1220 (2d Cir. 1992) (holding that an agency’s “post hoc litigation posture” regarding the interpretation of a statute “is entitled to no deference”)</w:t>
      </w:r>
      <w:r w:rsidRPr="008F07F2">
        <w:rPr>
          <w:rFonts w:ascii="Times New Roman" w:hAnsi="Times New Roman" w:cs="Times New Roman"/>
        </w:rPr>
        <w:fldChar w:fldCharType="begin"/>
      </w:r>
      <w:r w:rsidRPr="008F07F2">
        <w:rPr>
          <w:rFonts w:ascii="Times New Roman" w:hAnsi="Times New Roman" w:cs="Times New Roman"/>
        </w:rPr>
        <w:instrText xml:space="preserve"> TA \l "</w:instrText>
      </w:r>
      <w:r w:rsidRPr="008F07F2">
        <w:rPr>
          <w:rFonts w:ascii="Times New Roman" w:hAnsi="Times New Roman" w:cs="Times New Roman"/>
          <w:i/>
        </w:rPr>
        <w:instrText>Lewis v. Grinker</w:instrText>
      </w:r>
      <w:r w:rsidRPr="008F07F2">
        <w:rPr>
          <w:rFonts w:ascii="Times New Roman" w:hAnsi="Times New Roman" w:cs="Times New Roman"/>
        </w:rPr>
        <w:instrText xml:space="preserve">, 965 F.2d 1206 (2d Cir. 1992)" \s "Lewis" \c 1 </w:instrText>
      </w:r>
      <w:r w:rsidRPr="008F07F2">
        <w:rPr>
          <w:rFonts w:ascii="Times New Roman" w:hAnsi="Times New Roman" w:cs="Times New Roman"/>
        </w:rPr>
        <w:fldChar w:fldCharType="end"/>
      </w:r>
      <w:r w:rsidRPr="008F07F2">
        <w:rPr>
          <w:rFonts w:ascii="Times New Roman" w:hAnsi="Times New Roman" w:cs="Times New Roman"/>
        </w:rPr>
        <w:t xml:space="preserve"> (citing </w:t>
      </w:r>
      <w:r w:rsidRPr="008F07F2">
        <w:rPr>
          <w:rFonts w:ascii="Times New Roman" w:hAnsi="Times New Roman" w:cs="Times New Roman"/>
          <w:i/>
        </w:rPr>
        <w:t xml:space="preserve">Bowen v. Georgetown </w:t>
      </w:r>
      <w:r w:rsidRPr="008F07F2">
        <w:rPr>
          <w:rFonts w:ascii="Times New Roman" w:hAnsi="Times New Roman" w:cs="Times New Roman"/>
          <w:i/>
        </w:rPr>
        <w:lastRenderedPageBreak/>
        <w:t>Univ. Hospital</w:t>
      </w:r>
      <w:r w:rsidRPr="008F07F2">
        <w:rPr>
          <w:rFonts w:ascii="Times New Roman" w:hAnsi="Times New Roman" w:cs="Times New Roman"/>
        </w:rPr>
        <w:t>, 488 U.S. 204, 212–13 (1988))</w:t>
      </w:r>
      <w:r w:rsidRPr="008F07F2">
        <w:rPr>
          <w:rFonts w:ascii="Times New Roman" w:hAnsi="Times New Roman" w:cs="Times New Roman"/>
        </w:rPr>
        <w:fldChar w:fldCharType="begin"/>
      </w:r>
      <w:r w:rsidRPr="008F07F2">
        <w:rPr>
          <w:rFonts w:ascii="Times New Roman" w:hAnsi="Times New Roman" w:cs="Times New Roman"/>
        </w:rPr>
        <w:instrText xml:space="preserve"> TA \l "</w:instrText>
      </w:r>
      <w:r w:rsidRPr="008F07F2">
        <w:rPr>
          <w:rFonts w:ascii="Times New Roman" w:hAnsi="Times New Roman" w:cs="Times New Roman"/>
          <w:i/>
        </w:rPr>
        <w:instrText>Bowen v. Georgetown Univ. Hospital</w:instrText>
      </w:r>
      <w:r w:rsidRPr="008F07F2">
        <w:rPr>
          <w:rFonts w:ascii="Times New Roman" w:hAnsi="Times New Roman" w:cs="Times New Roman"/>
        </w:rPr>
        <w:instrText xml:space="preserve">, 488 U.S. 204 (1988)" \s "Bowen" \c 1 </w:instrText>
      </w:r>
      <w:r w:rsidRPr="008F07F2">
        <w:rPr>
          <w:rFonts w:ascii="Times New Roman" w:hAnsi="Times New Roman" w:cs="Times New Roman"/>
        </w:rPr>
        <w:fldChar w:fldCharType="end"/>
      </w:r>
      <w:r w:rsidRPr="008F07F2">
        <w:rPr>
          <w:rFonts w:ascii="Times New Roman" w:hAnsi="Times New Roman" w:cs="Times New Roman"/>
        </w:rPr>
        <w:t xml:space="preserve">.   Likewise, “[a]n agency interpretation of a relevant provision which conflicts with the agency’s earlier interpretation is entitled to considerably less deference than a consistently held agency view.”  </w:t>
      </w:r>
      <w:r w:rsidRPr="008F07F2">
        <w:rPr>
          <w:rFonts w:ascii="Times New Roman" w:hAnsi="Times New Roman" w:cs="Times New Roman"/>
          <w:i/>
        </w:rPr>
        <w:t>I.N.S. v. Cardoza-Fonseca</w:t>
      </w:r>
      <w:r w:rsidRPr="008F07F2">
        <w:rPr>
          <w:rFonts w:ascii="Times New Roman" w:hAnsi="Times New Roman" w:cs="Times New Roman"/>
        </w:rPr>
        <w:t>, 480 U.S. 421, 446 n.30 (1987)</w:t>
      </w:r>
      <w:r w:rsidRPr="008F07F2">
        <w:rPr>
          <w:rFonts w:ascii="Times New Roman" w:hAnsi="Times New Roman" w:cs="Times New Roman"/>
        </w:rPr>
        <w:fldChar w:fldCharType="begin"/>
      </w:r>
      <w:r w:rsidRPr="008F07F2">
        <w:rPr>
          <w:rFonts w:ascii="Times New Roman" w:hAnsi="Times New Roman" w:cs="Times New Roman"/>
        </w:rPr>
        <w:instrText xml:space="preserve"> TA \l "</w:instrText>
      </w:r>
      <w:r w:rsidRPr="008F07F2">
        <w:rPr>
          <w:rFonts w:ascii="Times New Roman" w:hAnsi="Times New Roman" w:cs="Times New Roman"/>
          <w:i/>
        </w:rPr>
        <w:instrText>I.N.S. v. Cardoza-Fonseca</w:instrText>
      </w:r>
      <w:r w:rsidRPr="008F07F2">
        <w:rPr>
          <w:rFonts w:ascii="Times New Roman" w:hAnsi="Times New Roman" w:cs="Times New Roman"/>
        </w:rPr>
        <w:instrText xml:space="preserve">, 480 U.S. 421 (1987)" \s "I.N.S." \c 1 </w:instrText>
      </w:r>
      <w:r w:rsidRPr="008F07F2">
        <w:rPr>
          <w:rFonts w:ascii="Times New Roman" w:hAnsi="Times New Roman" w:cs="Times New Roman"/>
        </w:rPr>
        <w:fldChar w:fldCharType="end"/>
      </w:r>
      <w:r w:rsidRPr="008F07F2">
        <w:rPr>
          <w:rFonts w:ascii="Times New Roman" w:hAnsi="Times New Roman" w:cs="Times New Roman"/>
        </w:rPr>
        <w:t xml:space="preserve"> (citation omitted).  </w:t>
      </w:r>
    </w:p>
    <w:p w14:paraId="6855EC2D" w14:textId="77777777" w:rsidR="000A5365" w:rsidRPr="008F07F2" w:rsidRDefault="000A5365" w:rsidP="000A5365">
      <w:pPr>
        <w:rPr>
          <w:rFonts w:ascii="Times New Roman" w:hAnsi="Times New Roman" w:cs="Times New Roman"/>
        </w:rPr>
      </w:pPr>
      <w:r w:rsidRPr="008F07F2">
        <w:rPr>
          <w:rFonts w:ascii="Times New Roman" w:hAnsi="Times New Roman" w:cs="Times New Roman"/>
        </w:rPr>
        <w:t xml:space="preserve">Second, agency interpretations are entitled to deference on a sliding scale, with the degree of deference depending on “the thoroughness evident in </w:t>
      </w:r>
      <w:r w:rsidR="00D90DA6" w:rsidRPr="008F07F2">
        <w:rPr>
          <w:rFonts w:ascii="Times New Roman" w:hAnsi="Times New Roman" w:cs="Times New Roman"/>
        </w:rPr>
        <w:t>[the interpretation’s]</w:t>
      </w:r>
      <w:r w:rsidRPr="008F07F2">
        <w:rPr>
          <w:rFonts w:ascii="Times New Roman" w:hAnsi="Times New Roman" w:cs="Times New Roman"/>
        </w:rPr>
        <w:t xml:space="preserve"> consideration, the validity of its reasoning, its consistency with earlier and later pronouncements, and all those factors which give it power to persuade, if lacking power to control.”  </w:t>
      </w:r>
      <w:r w:rsidRPr="008F07F2">
        <w:rPr>
          <w:rFonts w:ascii="Times New Roman" w:hAnsi="Times New Roman" w:cs="Times New Roman"/>
          <w:i/>
        </w:rPr>
        <w:t>United States v. Mead Corp.</w:t>
      </w:r>
      <w:r w:rsidRPr="008F07F2">
        <w:rPr>
          <w:rFonts w:ascii="Times New Roman" w:hAnsi="Times New Roman" w:cs="Times New Roman"/>
        </w:rPr>
        <w:t>, 533 U.S. 218, 228 (2001)</w:t>
      </w:r>
      <w:r w:rsidRPr="008F07F2">
        <w:rPr>
          <w:rFonts w:ascii="Times New Roman" w:hAnsi="Times New Roman" w:cs="Times New Roman"/>
        </w:rPr>
        <w:fldChar w:fldCharType="begin"/>
      </w:r>
      <w:r w:rsidRPr="008F07F2">
        <w:rPr>
          <w:rFonts w:ascii="Times New Roman" w:hAnsi="Times New Roman" w:cs="Times New Roman"/>
        </w:rPr>
        <w:instrText xml:space="preserve"> TA \l "</w:instrText>
      </w:r>
      <w:r w:rsidRPr="008F07F2">
        <w:rPr>
          <w:rFonts w:ascii="Times New Roman" w:hAnsi="Times New Roman" w:cs="Times New Roman"/>
          <w:i/>
        </w:rPr>
        <w:instrText>United States v. Mead Corp.</w:instrText>
      </w:r>
      <w:r w:rsidRPr="008F07F2">
        <w:rPr>
          <w:rFonts w:ascii="Times New Roman" w:hAnsi="Times New Roman" w:cs="Times New Roman"/>
        </w:rPr>
        <w:instrText xml:space="preserve">, 533 U.S. 218 (2001)" \s "Mead" \c 1 </w:instrText>
      </w:r>
      <w:r w:rsidRPr="008F07F2">
        <w:rPr>
          <w:rFonts w:ascii="Times New Roman" w:hAnsi="Times New Roman" w:cs="Times New Roman"/>
        </w:rPr>
        <w:fldChar w:fldCharType="end"/>
      </w:r>
      <w:r w:rsidRPr="008F07F2">
        <w:rPr>
          <w:rFonts w:ascii="Times New Roman" w:hAnsi="Times New Roman" w:cs="Times New Roman"/>
        </w:rPr>
        <w:t xml:space="preserve"> (quoting </w:t>
      </w:r>
      <w:r w:rsidRPr="008F07F2">
        <w:rPr>
          <w:rFonts w:ascii="Times New Roman" w:hAnsi="Times New Roman" w:cs="Times New Roman"/>
          <w:i/>
        </w:rPr>
        <w:t>Skidmore v. Swift &amp; Co.</w:t>
      </w:r>
      <w:r w:rsidRPr="008F07F2">
        <w:rPr>
          <w:rFonts w:ascii="Times New Roman" w:hAnsi="Times New Roman" w:cs="Times New Roman"/>
        </w:rPr>
        <w:t>, 323 U.S. 134, 140 (1944</w:t>
      </w:r>
      <w:r w:rsidR="00D90DA6" w:rsidRPr="008F07F2">
        <w:rPr>
          <w:rFonts w:ascii="Times New Roman" w:hAnsi="Times New Roman" w:cs="Times New Roman"/>
        </w:rPr>
        <w:t>)</w:t>
      </w:r>
      <w:r w:rsidRPr="008F07F2">
        <w:rPr>
          <w:rFonts w:ascii="Times New Roman" w:hAnsi="Times New Roman" w:cs="Times New Roman"/>
        </w:rPr>
        <w:t>)</w:t>
      </w:r>
      <w:r w:rsidRPr="008F07F2">
        <w:rPr>
          <w:rFonts w:ascii="Times New Roman" w:hAnsi="Times New Roman" w:cs="Times New Roman"/>
        </w:rPr>
        <w:fldChar w:fldCharType="begin"/>
      </w:r>
      <w:r w:rsidRPr="008F07F2">
        <w:rPr>
          <w:rFonts w:ascii="Times New Roman" w:hAnsi="Times New Roman" w:cs="Times New Roman"/>
        </w:rPr>
        <w:instrText xml:space="preserve"> TA \l "</w:instrText>
      </w:r>
      <w:r w:rsidRPr="008F07F2">
        <w:rPr>
          <w:rFonts w:ascii="Times New Roman" w:hAnsi="Times New Roman" w:cs="Times New Roman"/>
          <w:i/>
        </w:rPr>
        <w:instrText>Skidmore v. Swift &amp; Co.</w:instrText>
      </w:r>
      <w:r w:rsidRPr="008F07F2">
        <w:rPr>
          <w:rFonts w:ascii="Times New Roman" w:hAnsi="Times New Roman" w:cs="Times New Roman"/>
        </w:rPr>
        <w:instrText xml:space="preserve">, 323 U.S. 134 (1944)" \s "Skidmore" \c 1 </w:instrText>
      </w:r>
      <w:r w:rsidRPr="008F07F2">
        <w:rPr>
          <w:rFonts w:ascii="Times New Roman" w:hAnsi="Times New Roman" w:cs="Times New Roman"/>
        </w:rPr>
        <w:fldChar w:fldCharType="end"/>
      </w:r>
      <w:r w:rsidRPr="008F07F2">
        <w:rPr>
          <w:rFonts w:ascii="Times New Roman" w:hAnsi="Times New Roman" w:cs="Times New Roman"/>
        </w:rPr>
        <w:t xml:space="preserve">.  </w:t>
      </w:r>
    </w:p>
    <w:p w14:paraId="435263C6" w14:textId="77777777" w:rsidR="00FA1899" w:rsidRPr="008F07F2" w:rsidRDefault="000A5365" w:rsidP="00FA7200">
      <w:pPr>
        <w:rPr>
          <w:rFonts w:ascii="Times New Roman" w:hAnsi="Times New Roman" w:cs="Times New Roman"/>
          <w:lang w:val="en-US"/>
        </w:rPr>
      </w:pPr>
      <w:r w:rsidRPr="008F07F2">
        <w:rPr>
          <w:rFonts w:ascii="Times New Roman" w:hAnsi="Times New Roman" w:cs="Times New Roman"/>
        </w:rPr>
        <w:t>Third</w:t>
      </w:r>
      <w:r w:rsidR="006F47DC" w:rsidRPr="008F07F2">
        <w:rPr>
          <w:rFonts w:ascii="Times New Roman" w:hAnsi="Times New Roman" w:cs="Times New Roman"/>
        </w:rPr>
        <w:t xml:space="preserve">, ANR’s interpretations of federal CWA regulations are not entitled to any deference.  </w:t>
      </w:r>
      <w:r w:rsidR="006F47DC" w:rsidRPr="008F07F2">
        <w:rPr>
          <w:rFonts w:ascii="Times New Roman" w:hAnsi="Times New Roman" w:cs="Times New Roman"/>
          <w:i/>
        </w:rPr>
        <w:t>In re Stormwater NPDES Petition</w:t>
      </w:r>
      <w:r w:rsidR="006F47DC" w:rsidRPr="008F07F2">
        <w:rPr>
          <w:rFonts w:ascii="Times New Roman" w:hAnsi="Times New Roman" w:cs="Times New Roman"/>
        </w:rPr>
        <w:t>, 2006 VT 91, ¶ 13 n.2, 180 Vt. 261</w:t>
      </w:r>
      <w:r w:rsidR="00FA7200" w:rsidRPr="008F07F2">
        <w:rPr>
          <w:rFonts w:ascii="Times New Roman" w:hAnsi="Times New Roman" w:cs="Times New Roman"/>
        </w:rPr>
        <w:t xml:space="preserve">, </w:t>
      </w:r>
      <w:r w:rsidR="00FA7200" w:rsidRPr="008F07F2">
        <w:rPr>
          <w:rFonts w:ascii="Times New Roman" w:hAnsi="Times New Roman" w:cs="Times New Roman"/>
          <w:lang w:val="en-US"/>
        </w:rPr>
        <w:t>910 A.2d 824</w:t>
      </w:r>
      <w:r w:rsidR="00D03FB1" w:rsidRPr="008F07F2">
        <w:rPr>
          <w:rFonts w:ascii="Times New Roman" w:hAnsi="Times New Roman" w:cs="Times New Roman"/>
          <w:lang w:val="en-US"/>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In re Stormwater NPDES Petition</w:instrText>
      </w:r>
      <w:r w:rsidR="00D03FB1" w:rsidRPr="008F07F2">
        <w:rPr>
          <w:rFonts w:ascii="Times New Roman" w:hAnsi="Times New Roman" w:cs="Times New Roman"/>
        </w:rPr>
        <w:instrText xml:space="preserve">, 2006 VT 91, 180 Vt. 261, </w:instrText>
      </w:r>
      <w:r w:rsidR="00D03FB1" w:rsidRPr="008F07F2">
        <w:rPr>
          <w:rFonts w:ascii="Times New Roman" w:hAnsi="Times New Roman" w:cs="Times New Roman"/>
          <w:lang w:val="en-US"/>
        </w:rPr>
        <w:instrText>910 A.2d 824</w:instrText>
      </w:r>
      <w:r w:rsidR="00D03FB1" w:rsidRPr="008F07F2">
        <w:rPr>
          <w:rFonts w:ascii="Times New Roman" w:hAnsi="Times New Roman" w:cs="Times New Roman"/>
        </w:rPr>
        <w:instrText xml:space="preserve">" \s "NPDES" \c 1 </w:instrText>
      </w:r>
      <w:r w:rsidR="00D03FB1" w:rsidRPr="008F07F2">
        <w:rPr>
          <w:rFonts w:ascii="Times New Roman" w:hAnsi="Times New Roman" w:cs="Times New Roman"/>
          <w:lang w:val="en-US"/>
        </w:rPr>
        <w:fldChar w:fldCharType="end"/>
      </w:r>
      <w:r w:rsidR="006F47DC" w:rsidRPr="008F07F2">
        <w:rPr>
          <w:rFonts w:ascii="Times New Roman" w:hAnsi="Times New Roman" w:cs="Times New Roman"/>
        </w:rPr>
        <w:t xml:space="preserve"> (“As the certified NPDES permitting authority, ANR’s discretionary ruling on whether to grant or deny a permit might thus be entitled to deference, but that deference does not extend to interpretations of the scope and purpose of provisions of the CWA and implementing EPA regulations.”).  Instead of deferring to ANR, the Court should construe the</w:t>
      </w:r>
      <w:r w:rsidR="005E3FBF" w:rsidRPr="008F07F2">
        <w:rPr>
          <w:rFonts w:ascii="Times New Roman" w:hAnsi="Times New Roman" w:cs="Times New Roman"/>
        </w:rPr>
        <w:t>se federal</w:t>
      </w:r>
      <w:r w:rsidR="006F47DC" w:rsidRPr="008F07F2">
        <w:rPr>
          <w:rFonts w:ascii="Times New Roman" w:hAnsi="Times New Roman" w:cs="Times New Roman"/>
        </w:rPr>
        <w:t xml:space="preserve"> regulations according to their plain language and within the regulatory </w:t>
      </w:r>
      <w:proofErr w:type="gramStart"/>
      <w:r w:rsidR="006F47DC" w:rsidRPr="008F07F2">
        <w:rPr>
          <w:rFonts w:ascii="Times New Roman" w:hAnsi="Times New Roman" w:cs="Times New Roman"/>
        </w:rPr>
        <w:t>scheme as a whole</w:t>
      </w:r>
      <w:proofErr w:type="gramEnd"/>
      <w:r w:rsidR="006F47DC" w:rsidRPr="008F07F2">
        <w:rPr>
          <w:rFonts w:ascii="Times New Roman" w:hAnsi="Times New Roman" w:cs="Times New Roman"/>
        </w:rPr>
        <w:t xml:space="preserve">.  </w:t>
      </w:r>
      <w:r w:rsidR="006F47DC" w:rsidRPr="008F07F2">
        <w:rPr>
          <w:rFonts w:ascii="Times New Roman" w:hAnsi="Times New Roman" w:cs="Times New Roman"/>
          <w:i/>
        </w:rPr>
        <w:t>In re Williston Inn Grp.</w:t>
      </w:r>
      <w:r w:rsidR="000B5427" w:rsidRPr="008F07F2">
        <w:rPr>
          <w:rFonts w:ascii="Times New Roman" w:hAnsi="Times New Roman" w:cs="Times New Roman"/>
        </w:rPr>
        <w:t>, 2008 VT 47, ¶ </w:t>
      </w:r>
      <w:r w:rsidR="006F47DC" w:rsidRPr="008F07F2">
        <w:rPr>
          <w:rFonts w:ascii="Times New Roman" w:hAnsi="Times New Roman" w:cs="Times New Roman"/>
        </w:rPr>
        <w:t>14, 183 Vt. 621</w:t>
      </w:r>
      <w:r w:rsidR="00FA7200" w:rsidRPr="008F07F2">
        <w:rPr>
          <w:rFonts w:ascii="Times New Roman" w:hAnsi="Times New Roman" w:cs="Times New Roman"/>
        </w:rPr>
        <w:t>, 949 A.2d 1073</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\s "Williston" </w:instrText>
      </w:r>
      <w:r w:rsidR="00D03FB1" w:rsidRPr="008F07F2">
        <w:rPr>
          <w:rFonts w:ascii="Times New Roman" w:hAnsi="Times New Roman" w:cs="Times New Roman"/>
        </w:rPr>
        <w:fldChar w:fldCharType="end"/>
      </w:r>
      <w:r w:rsidR="006F47DC" w:rsidRPr="008F07F2">
        <w:rPr>
          <w:rFonts w:ascii="Times New Roman" w:hAnsi="Times New Roman" w:cs="Times New Roman"/>
        </w:rPr>
        <w:t xml:space="preserve">; </w:t>
      </w:r>
      <w:r w:rsidR="006F47DC" w:rsidRPr="008F07F2">
        <w:rPr>
          <w:rFonts w:ascii="Times New Roman" w:hAnsi="Times New Roman" w:cs="Times New Roman"/>
          <w:i/>
        </w:rPr>
        <w:t>In re Albert</w:t>
      </w:r>
      <w:r w:rsidR="006F47DC" w:rsidRPr="008F07F2">
        <w:rPr>
          <w:rFonts w:ascii="Times New Roman" w:hAnsi="Times New Roman" w:cs="Times New Roman"/>
        </w:rPr>
        <w:t>, 2008 VT 30, ¶ 20, 183 Vt. 637</w:t>
      </w:r>
      <w:r w:rsidR="00FA7200" w:rsidRPr="008F07F2">
        <w:rPr>
          <w:rFonts w:ascii="Times New Roman" w:hAnsi="Times New Roman" w:cs="Times New Roman"/>
        </w:rPr>
        <w:t>, 954 A.2d 1281</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In re Albert</w:instrText>
      </w:r>
      <w:r w:rsidR="00D03FB1" w:rsidRPr="008F07F2">
        <w:rPr>
          <w:rFonts w:ascii="Times New Roman" w:hAnsi="Times New Roman" w:cs="Times New Roman"/>
        </w:rPr>
        <w:instrText xml:space="preserve">, 2008 VT 30, 183 Vt. 637, 954 A.2d 1281" \s "Albert" \c 1 </w:instrText>
      </w:r>
      <w:r w:rsidR="00D03FB1" w:rsidRPr="008F07F2">
        <w:rPr>
          <w:rFonts w:ascii="Times New Roman" w:hAnsi="Times New Roman" w:cs="Times New Roman"/>
        </w:rPr>
        <w:fldChar w:fldCharType="end"/>
      </w:r>
      <w:r w:rsidR="006F47DC" w:rsidRPr="008F07F2">
        <w:rPr>
          <w:rFonts w:ascii="Times New Roman" w:hAnsi="Times New Roman" w:cs="Times New Roman"/>
        </w:rPr>
        <w:t>.</w:t>
      </w:r>
    </w:p>
    <w:p w14:paraId="4ACA6C36" w14:textId="77777777" w:rsidR="005E3FBF" w:rsidRPr="008F07F2" w:rsidRDefault="000A5365" w:rsidP="003D51EB">
      <w:pPr>
        <w:rPr>
          <w:rFonts w:ascii="Times New Roman" w:hAnsi="Times New Roman" w:cs="Times New Roman"/>
        </w:rPr>
      </w:pPr>
      <w:r w:rsidRPr="008F07F2">
        <w:rPr>
          <w:rFonts w:ascii="Times New Roman" w:hAnsi="Times New Roman" w:cs="Times New Roman"/>
        </w:rPr>
        <w:t>Fourth</w:t>
      </w:r>
      <w:r w:rsidR="006F47DC" w:rsidRPr="008F07F2">
        <w:rPr>
          <w:rFonts w:ascii="Times New Roman" w:hAnsi="Times New Roman" w:cs="Times New Roman"/>
        </w:rPr>
        <w:t xml:space="preserve">, while courts “accord great weight to interpretation by the promulgator of a regulation, . . . this is only true where the interpretation is consistent with the purposes of the act under which the regulation is made.”  </w:t>
      </w:r>
      <w:r w:rsidR="006F47DC" w:rsidRPr="008F07F2">
        <w:rPr>
          <w:rFonts w:ascii="Times New Roman" w:hAnsi="Times New Roman" w:cs="Times New Roman"/>
          <w:i/>
        </w:rPr>
        <w:t>Huntington v. Dep’t of Soc. &amp; Rehab. Servs.</w:t>
      </w:r>
      <w:r w:rsidR="006F47DC" w:rsidRPr="008F07F2">
        <w:rPr>
          <w:rFonts w:ascii="Times New Roman" w:hAnsi="Times New Roman" w:cs="Times New Roman"/>
        </w:rPr>
        <w:t>, 139 Vt. 416, 419</w:t>
      </w:r>
      <w:r w:rsidR="008F43FC" w:rsidRPr="008F07F2">
        <w:rPr>
          <w:rFonts w:ascii="Times New Roman" w:hAnsi="Times New Roman" w:cs="Times New Roman"/>
        </w:rPr>
        <w:t>, 430 A.2d 460</w:t>
      </w:r>
      <w:r w:rsidR="006F47DC" w:rsidRPr="008F07F2">
        <w:rPr>
          <w:rFonts w:ascii="Times New Roman" w:hAnsi="Times New Roman" w:cs="Times New Roman"/>
        </w:rPr>
        <w:t xml:space="preserve"> (1981</w:t>
      </w:r>
      <w:r w:rsidR="00D03FB1" w:rsidRPr="008F07F2">
        <w:rPr>
          <w:rFonts w:ascii="Times New Roman" w:hAnsi="Times New Roman" w:cs="Times New Roman"/>
        </w:rPr>
        <w:t>)</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Huntington v. Dep’t of Soc. &amp; Rehab. Servs.</w:instrText>
      </w:r>
      <w:r w:rsidR="00D03FB1" w:rsidRPr="008F07F2">
        <w:rPr>
          <w:rFonts w:ascii="Times New Roman" w:hAnsi="Times New Roman" w:cs="Times New Roman"/>
        </w:rPr>
        <w:instrText xml:space="preserve">, 139 Vt. 416, 430 A.2d 460 (1981)" \s "Huntington" \c 1 </w:instrText>
      </w:r>
      <w:r w:rsidR="00D03FB1" w:rsidRPr="008F07F2">
        <w:rPr>
          <w:rFonts w:ascii="Times New Roman" w:hAnsi="Times New Roman" w:cs="Times New Roman"/>
        </w:rPr>
        <w:fldChar w:fldCharType="end"/>
      </w:r>
      <w:r w:rsidR="006F47DC" w:rsidRPr="008F07F2">
        <w:rPr>
          <w:rFonts w:ascii="Times New Roman" w:hAnsi="Times New Roman" w:cs="Times New Roman"/>
        </w:rPr>
        <w:t xml:space="preserve">.  </w:t>
      </w:r>
      <w:r w:rsidR="00447A5F" w:rsidRPr="008F07F2">
        <w:rPr>
          <w:rFonts w:ascii="Times New Roman" w:hAnsi="Times New Roman" w:cs="Times New Roman"/>
        </w:rPr>
        <w:t>The Vermont Water Quality Standards and antidegradation policy are promulgated pursuant to the federal CWA,</w:t>
      </w:r>
      <w:r w:rsidR="005E3FBF" w:rsidRPr="008F07F2">
        <w:rPr>
          <w:rFonts w:ascii="Times New Roman" w:hAnsi="Times New Roman" w:cs="Times New Roman"/>
        </w:rPr>
        <w:t xml:space="preserve"> see </w:t>
      </w:r>
      <w:r w:rsidR="005E3FBF" w:rsidRPr="008F07F2">
        <w:rPr>
          <w:rFonts w:ascii="Times New Roman" w:hAnsi="Times New Roman" w:cs="Times New Roman"/>
          <w:i/>
        </w:rPr>
        <w:t>Petition of Town of Sherburne</w:t>
      </w:r>
      <w:r w:rsidR="005E3FBF" w:rsidRPr="008F07F2">
        <w:rPr>
          <w:rFonts w:ascii="Times New Roman" w:hAnsi="Times New Roman" w:cs="Times New Roman"/>
        </w:rPr>
        <w:t xml:space="preserve">, 154 Vt. 596, 601, </w:t>
      </w:r>
      <w:r w:rsidR="005E3FBF" w:rsidRPr="008F07F2">
        <w:rPr>
          <w:rFonts w:ascii="Times New Roman" w:hAnsi="Times New Roman" w:cs="Times New Roman"/>
        </w:rPr>
        <w:lastRenderedPageBreak/>
        <w:t>581 A.2d 274</w:t>
      </w:r>
      <w:r w:rsidR="008F43FC" w:rsidRPr="008F07F2">
        <w:rPr>
          <w:rFonts w:ascii="Times New Roman" w:hAnsi="Times New Roman" w:cs="Times New Roman"/>
        </w:rPr>
        <w:t xml:space="preserve"> (1990)</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Petition of Town of Sherburne</w:instrText>
      </w:r>
      <w:r w:rsidR="00D03FB1" w:rsidRPr="008F07F2">
        <w:rPr>
          <w:rFonts w:ascii="Times New Roman" w:hAnsi="Times New Roman" w:cs="Times New Roman"/>
        </w:rPr>
        <w:instrText xml:space="preserve">, 154 Vt. 596, 581 A.2d 274 (1990)" \s "Sherburne" \c 1 </w:instrText>
      </w:r>
      <w:r w:rsidR="00D03FB1" w:rsidRPr="008F07F2">
        <w:rPr>
          <w:rFonts w:ascii="Times New Roman" w:hAnsi="Times New Roman" w:cs="Times New Roman"/>
        </w:rPr>
        <w:fldChar w:fldCharType="end"/>
      </w:r>
      <w:r w:rsidR="005E3FBF" w:rsidRPr="008F07F2">
        <w:rPr>
          <w:rFonts w:ascii="Times New Roman" w:hAnsi="Times New Roman" w:cs="Times New Roman"/>
        </w:rPr>
        <w:t xml:space="preserve">, and </w:t>
      </w:r>
      <w:r w:rsidR="00D90DA6" w:rsidRPr="008F07F2">
        <w:rPr>
          <w:rFonts w:ascii="Times New Roman" w:hAnsi="Times New Roman" w:cs="Times New Roman"/>
        </w:rPr>
        <w:t>courts therefore must only defer to interpretations of them that are</w:t>
      </w:r>
      <w:r w:rsidR="005E3FBF" w:rsidRPr="008F07F2">
        <w:rPr>
          <w:rFonts w:ascii="Times New Roman" w:hAnsi="Times New Roman" w:cs="Times New Roman"/>
        </w:rPr>
        <w:t xml:space="preserve"> consistent with that federal regulatory scheme. </w:t>
      </w:r>
    </w:p>
    <w:p w14:paraId="52A61FD2" w14:textId="77777777" w:rsidR="00FA1899" w:rsidRPr="008F07F2" w:rsidRDefault="000A5365" w:rsidP="003D51EB">
      <w:pPr>
        <w:rPr>
          <w:rFonts w:ascii="Times New Roman" w:hAnsi="Times New Roman" w:cs="Times New Roman"/>
        </w:rPr>
      </w:pPr>
      <w:r w:rsidRPr="008F07F2">
        <w:rPr>
          <w:rFonts w:ascii="Times New Roman" w:hAnsi="Times New Roman" w:cs="Times New Roman"/>
        </w:rPr>
        <w:t>Fifth</w:t>
      </w:r>
      <w:r w:rsidR="00F81054" w:rsidRPr="008F07F2">
        <w:rPr>
          <w:rFonts w:ascii="Times New Roman" w:hAnsi="Times New Roman" w:cs="Times New Roman"/>
        </w:rPr>
        <w:t>, the proceeding before the Environmental Division was a de novo hearing. 10 V.S.A. § 8504(h)</w:t>
      </w:r>
      <w:r w:rsidR="008F43FC" w:rsidRPr="008F07F2">
        <w:rPr>
          <w:rFonts w:ascii="Times New Roman" w:hAnsi="Times New Roman" w:cs="Times New Roman"/>
        </w:rPr>
        <w:fldChar w:fldCharType="begin"/>
      </w:r>
      <w:r w:rsidR="008F43FC" w:rsidRPr="008F07F2">
        <w:rPr>
          <w:rFonts w:ascii="Times New Roman" w:hAnsi="Times New Roman" w:cs="Times New Roman"/>
        </w:rPr>
        <w:instrText xml:space="preserve"> TA \l "10 V.S.A. § 8504(h)" \s "10 V.S.A. § 8504(h)" \c 2 </w:instrText>
      </w:r>
      <w:r w:rsidR="008F43FC" w:rsidRPr="008F07F2">
        <w:rPr>
          <w:rFonts w:ascii="Times New Roman" w:hAnsi="Times New Roman" w:cs="Times New Roman"/>
        </w:rPr>
        <w:fldChar w:fldCharType="end"/>
      </w:r>
      <w:r w:rsidR="00FF1F9C" w:rsidRPr="008F07F2">
        <w:rPr>
          <w:rFonts w:ascii="Times New Roman" w:hAnsi="Times New Roman" w:cs="Times New Roman"/>
        </w:rPr>
        <w:t xml:space="preserve">.  This means that the Environmental Division disregarded prior proceedings and conducted a new trial as though no previous action had been taken. </w:t>
      </w:r>
      <w:r w:rsidR="00F81054" w:rsidRPr="008F07F2">
        <w:rPr>
          <w:rFonts w:ascii="Times New Roman" w:hAnsi="Times New Roman" w:cs="Times New Roman"/>
        </w:rPr>
        <w:t xml:space="preserve"> </w:t>
      </w:r>
      <w:r w:rsidR="00FF1F9C" w:rsidRPr="008F07F2">
        <w:rPr>
          <w:rFonts w:ascii="Times New Roman" w:hAnsi="Times New Roman" w:cs="Times New Roman"/>
          <w:i/>
        </w:rPr>
        <w:t>State v. Madison</w:t>
      </w:r>
      <w:r w:rsidR="00FF1F9C" w:rsidRPr="008F07F2">
        <w:rPr>
          <w:rFonts w:ascii="Times New Roman" w:hAnsi="Times New Roman" w:cs="Times New Roman"/>
        </w:rPr>
        <w:t xml:space="preserve">, 163 Vt. 360, 369, 658 A.2d 536 (1995) </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\l "</w:instrText>
      </w:r>
      <w:r w:rsidR="00D03FB1" w:rsidRPr="008F07F2">
        <w:rPr>
          <w:rFonts w:ascii="Times New Roman" w:hAnsi="Times New Roman" w:cs="Times New Roman"/>
          <w:i/>
        </w:rPr>
        <w:instrText>State v. Madison</w:instrText>
      </w:r>
      <w:r w:rsidR="00D03FB1" w:rsidRPr="008F07F2">
        <w:rPr>
          <w:rFonts w:ascii="Times New Roman" w:hAnsi="Times New Roman" w:cs="Times New Roman"/>
        </w:rPr>
        <w:instrText xml:space="preserve">, 163 Vt. 360, 658 A.2d 536 (1995)" \s "Madison" \c 1 </w:instrText>
      </w:r>
      <w:r w:rsidR="00D03FB1" w:rsidRPr="008F07F2">
        <w:rPr>
          <w:rFonts w:ascii="Times New Roman" w:hAnsi="Times New Roman" w:cs="Times New Roman"/>
        </w:rPr>
        <w:fldChar w:fldCharType="end"/>
      </w:r>
      <w:r w:rsidR="00FF1F9C" w:rsidRPr="008F07F2">
        <w:rPr>
          <w:rFonts w:ascii="Times New Roman" w:hAnsi="Times New Roman" w:cs="Times New Roman"/>
        </w:rPr>
        <w:t xml:space="preserve">(citations omitted).  </w:t>
      </w:r>
      <w:r w:rsidR="00D90DA6" w:rsidRPr="008F07F2">
        <w:rPr>
          <w:rFonts w:ascii="Times New Roman" w:hAnsi="Times New Roman" w:cs="Times New Roman"/>
        </w:rPr>
        <w:t>In a de novo hearing courts</w:t>
      </w:r>
      <w:r w:rsidR="00DD4872" w:rsidRPr="008F07F2">
        <w:rPr>
          <w:rFonts w:ascii="Times New Roman" w:hAnsi="Times New Roman" w:cs="Times New Roman"/>
        </w:rPr>
        <w:t xml:space="preserve"> must not defer to an agency witness’s testimony, because doing so would effectively undermine the de novo hearing </w:t>
      </w:r>
      <w:r w:rsidR="00D90DA6" w:rsidRPr="008F07F2">
        <w:rPr>
          <w:rFonts w:ascii="Times New Roman" w:hAnsi="Times New Roman" w:cs="Times New Roman"/>
        </w:rPr>
        <w:t>standard</w:t>
      </w:r>
      <w:r w:rsidR="00DD4872" w:rsidRPr="008F07F2">
        <w:rPr>
          <w:rFonts w:ascii="Times New Roman" w:hAnsi="Times New Roman" w:cs="Times New Roman"/>
        </w:rPr>
        <w:t xml:space="preserve">. </w:t>
      </w:r>
    </w:p>
    <w:p w14:paraId="4A1F8AB6" w14:textId="77777777" w:rsidR="000E5CB8" w:rsidRPr="008F07F2" w:rsidRDefault="000E5CB8" w:rsidP="003D51EB">
      <w:pPr>
        <w:pStyle w:val="Heading1"/>
        <w:rPr>
          <w:rFonts w:ascii="Times New Roman" w:hAnsi="Times New Roman" w:cs="Times New Roman"/>
        </w:rPr>
      </w:pPr>
      <w:bookmarkStart w:id="7" w:name="_Toc535838872"/>
      <w:r w:rsidRPr="008F07F2">
        <w:rPr>
          <w:rFonts w:ascii="Times New Roman" w:hAnsi="Times New Roman" w:cs="Times New Roman"/>
        </w:rPr>
        <w:t>ARGUMENT</w:t>
      </w:r>
      <w:bookmarkEnd w:id="7"/>
    </w:p>
    <w:p w14:paraId="371956A3" w14:textId="3D5CD7B0" w:rsidR="00C1053C" w:rsidRPr="008F07F2" w:rsidRDefault="00C1053C" w:rsidP="003D51EB">
      <w:pPr>
        <w:rPr>
          <w:rFonts w:ascii="Times New Roman" w:hAnsi="Times New Roman" w:cs="Times New Roman"/>
        </w:rPr>
      </w:pPr>
      <w:r w:rsidRPr="008F07F2">
        <w:rPr>
          <w:rFonts w:ascii="Times New Roman" w:hAnsi="Times New Roman" w:cs="Times New Roman"/>
        </w:rPr>
        <w:t xml:space="preserve">ANR designed </w:t>
      </w:r>
      <w:r w:rsidR="003C1B15">
        <w:rPr>
          <w:rFonts w:ascii="Times New Roman" w:hAnsi="Times New Roman" w:cs="Times New Roman"/>
        </w:rPr>
        <w:t>its</w:t>
      </w:r>
      <w:r w:rsidRPr="008F07F2">
        <w:rPr>
          <w:rFonts w:ascii="Times New Roman" w:hAnsi="Times New Roman" w:cs="Times New Roman"/>
        </w:rPr>
        <w:t xml:space="preserve"> WQC with the assumption that whitewater boating on the Green River need not be protected u</w:t>
      </w:r>
      <w:r w:rsidR="003C1B15">
        <w:rPr>
          <w:rFonts w:ascii="Times New Roman" w:hAnsi="Times New Roman" w:cs="Times New Roman"/>
        </w:rPr>
        <w:t>nder the CWA and VWQS because ANR had mistakenly determined that it was</w:t>
      </w:r>
      <w:r w:rsidRPr="008F07F2">
        <w:rPr>
          <w:rFonts w:ascii="Times New Roman" w:hAnsi="Times New Roman" w:cs="Times New Roman"/>
        </w:rPr>
        <w:t xml:space="preserve"> not an existing use.</w:t>
      </w:r>
      <w:r w:rsidR="00D327E7" w:rsidRPr="008F07F2">
        <w:rPr>
          <w:rFonts w:ascii="Times New Roman" w:hAnsi="Times New Roman" w:cs="Times New Roman"/>
        </w:rPr>
        <w:t xml:space="preserve">  </w:t>
      </w:r>
      <w:r w:rsidRPr="008F07F2">
        <w:rPr>
          <w:rFonts w:ascii="Times New Roman" w:hAnsi="Times New Roman" w:cs="Times New Roman"/>
        </w:rPr>
        <w:t xml:space="preserve">Having failed to persuade the Environmental Division of this, </w:t>
      </w:r>
      <w:r w:rsidR="00436B89">
        <w:rPr>
          <w:rFonts w:ascii="Times New Roman" w:hAnsi="Times New Roman" w:cs="Times New Roman"/>
        </w:rPr>
        <w:t>ANR</w:t>
      </w:r>
      <w:r w:rsidRPr="008F07F2">
        <w:rPr>
          <w:rFonts w:ascii="Times New Roman" w:hAnsi="Times New Roman" w:cs="Times New Roman"/>
        </w:rPr>
        <w:t xml:space="preserve"> now purports to concede that whitewater boating is an existing use.  This concession is empty, however, because </w:t>
      </w:r>
      <w:r w:rsidR="00436B89">
        <w:rPr>
          <w:rFonts w:ascii="Times New Roman" w:hAnsi="Times New Roman" w:cs="Times New Roman"/>
        </w:rPr>
        <w:t>ANR</w:t>
      </w:r>
      <w:r w:rsidR="003C1B15">
        <w:rPr>
          <w:rFonts w:ascii="Times New Roman" w:hAnsi="Times New Roman" w:cs="Times New Roman"/>
        </w:rPr>
        <w:t>’s present position seeks to parse the existing use and</w:t>
      </w:r>
      <w:r w:rsidRPr="008F07F2">
        <w:rPr>
          <w:rFonts w:ascii="Times New Roman" w:hAnsi="Times New Roman" w:cs="Times New Roman"/>
        </w:rPr>
        <w:t xml:space="preserve"> maintains a position that would deny whitewater boating the protection it is entitled to as an existing use.  Specifically, ANR now argues that even though whitewater boating is an existing use, it needs no protection because it does not require a higher level of water quality than the designated use of aquatic biota, wildlife, and aquatic habitat.  </w:t>
      </w:r>
    </w:p>
    <w:p w14:paraId="621D81FB" w14:textId="008B12B9" w:rsidR="00C1053C" w:rsidRPr="008F07F2" w:rsidRDefault="00C1053C" w:rsidP="003D51EB">
      <w:pPr>
        <w:rPr>
          <w:rFonts w:ascii="Times New Roman" w:hAnsi="Times New Roman" w:cs="Times New Roman"/>
        </w:rPr>
      </w:pPr>
      <w:r w:rsidRPr="008F07F2">
        <w:rPr>
          <w:rFonts w:ascii="Times New Roman" w:hAnsi="Times New Roman" w:cs="Times New Roman"/>
        </w:rPr>
        <w:t xml:space="preserve">This </w:t>
      </w:r>
      <w:r w:rsidR="003C1B15">
        <w:rPr>
          <w:rFonts w:ascii="Times New Roman" w:hAnsi="Times New Roman" w:cs="Times New Roman"/>
        </w:rPr>
        <w:t xml:space="preserve">post-hoc </w:t>
      </w:r>
      <w:r w:rsidRPr="008F07F2">
        <w:rPr>
          <w:rFonts w:ascii="Times New Roman" w:hAnsi="Times New Roman" w:cs="Times New Roman"/>
        </w:rPr>
        <w:t xml:space="preserve">attempt to justify the WQC’s failure to protect whitewater boating simply re-packages </w:t>
      </w:r>
      <w:r w:rsidR="00436B89">
        <w:rPr>
          <w:rFonts w:ascii="Times New Roman" w:hAnsi="Times New Roman" w:cs="Times New Roman"/>
        </w:rPr>
        <w:t>ANR</w:t>
      </w:r>
      <w:r w:rsidRPr="008F07F2">
        <w:rPr>
          <w:rFonts w:ascii="Times New Roman" w:hAnsi="Times New Roman" w:cs="Times New Roman"/>
        </w:rPr>
        <w:t xml:space="preserve">’s earlier arguments against protecting whitewater boating.  ANR’s reading of the CWA and the VWQS remains inconsistent with the plain language of both </w:t>
      </w:r>
      <w:r w:rsidR="003C1B15">
        <w:rPr>
          <w:rFonts w:ascii="Times New Roman" w:hAnsi="Times New Roman" w:cs="Times New Roman"/>
        </w:rPr>
        <w:t xml:space="preserve">state and federal </w:t>
      </w:r>
      <w:r w:rsidRPr="008F07F2">
        <w:rPr>
          <w:rFonts w:ascii="Times New Roman" w:hAnsi="Times New Roman" w:cs="Times New Roman"/>
        </w:rPr>
        <w:t>regulatory schemes</w:t>
      </w:r>
      <w:r w:rsidR="003C1B15">
        <w:rPr>
          <w:rFonts w:ascii="Times New Roman" w:hAnsi="Times New Roman" w:cs="Times New Roman"/>
        </w:rPr>
        <w:t>.  T</w:t>
      </w:r>
      <w:r w:rsidRPr="008F07F2">
        <w:rPr>
          <w:rFonts w:ascii="Times New Roman" w:hAnsi="Times New Roman" w:cs="Times New Roman"/>
        </w:rPr>
        <w:t xml:space="preserve">he Environmental Division correctly rejected those argument in its decision.  </w:t>
      </w:r>
      <w:r w:rsidRPr="008F07F2">
        <w:rPr>
          <w:rFonts w:ascii="Times New Roman" w:hAnsi="Times New Roman" w:cs="Times New Roman"/>
        </w:rPr>
        <w:lastRenderedPageBreak/>
        <w:t xml:space="preserve">As shown below, this Court need only look to the plain language of both the CWA and the VWQS to reach the same conclusion and affirm the Environmental Division’s conclusions.   </w:t>
      </w:r>
    </w:p>
    <w:p w14:paraId="21106110" w14:textId="220693CB" w:rsidR="00C1053C" w:rsidRPr="008F07F2" w:rsidRDefault="00C1053C" w:rsidP="003D51EB">
      <w:pPr>
        <w:rPr>
          <w:rFonts w:ascii="Times New Roman" w:hAnsi="Times New Roman" w:cs="Times New Roman"/>
        </w:rPr>
      </w:pPr>
      <w:r w:rsidRPr="008F07F2">
        <w:rPr>
          <w:rFonts w:ascii="Times New Roman" w:hAnsi="Times New Roman" w:cs="Times New Roman"/>
        </w:rPr>
        <w:t>In short, whitewater boating</w:t>
      </w:r>
      <w:r w:rsidR="003C1B15">
        <w:rPr>
          <w:rFonts w:ascii="Times New Roman" w:hAnsi="Times New Roman" w:cs="Times New Roman"/>
        </w:rPr>
        <w:t>, with scheduled releases,</w:t>
      </w:r>
      <w:r w:rsidRPr="008F07F2">
        <w:rPr>
          <w:rFonts w:ascii="Times New Roman" w:hAnsi="Times New Roman" w:cs="Times New Roman"/>
        </w:rPr>
        <w:t xml:space="preserve"> is an existing and established recreational use, and is entitled to meaningful protection as such.  No amount of post-hoc rationalization changes these circumstances or is entitled to deference.</w:t>
      </w:r>
    </w:p>
    <w:p w14:paraId="0C68655A" w14:textId="77777777" w:rsidR="0073464A" w:rsidRPr="008F07F2" w:rsidRDefault="0073464A" w:rsidP="000B5427">
      <w:pPr>
        <w:pStyle w:val="Heading2"/>
        <w:numPr>
          <w:ilvl w:val="0"/>
          <w:numId w:val="21"/>
        </w:numPr>
      </w:pPr>
      <w:bookmarkStart w:id="8" w:name="_Toc535838873"/>
      <w:bookmarkEnd w:id="6"/>
      <w:r w:rsidRPr="008F07F2">
        <w:t xml:space="preserve">There </w:t>
      </w:r>
      <w:r w:rsidR="00D90DA6" w:rsidRPr="008F07F2">
        <w:t>Is No Conflict Between the Designated Use of Aquatic Biota, Wildlife, and Aquatic Habitat, and The Existing Use of Whitewater Boating.</w:t>
      </w:r>
      <w:bookmarkEnd w:id="8"/>
    </w:p>
    <w:p w14:paraId="1C04EC90" w14:textId="77777777" w:rsidR="0073464A" w:rsidRPr="008F07F2" w:rsidRDefault="0073464A" w:rsidP="003D51EB">
      <w:pPr>
        <w:rPr>
          <w:rFonts w:ascii="Times New Roman" w:hAnsi="Times New Roman" w:cs="Times New Roman"/>
        </w:rPr>
      </w:pPr>
      <w:r w:rsidRPr="008F07F2">
        <w:rPr>
          <w:rFonts w:ascii="Times New Roman" w:hAnsi="Times New Roman" w:cs="Times New Roman"/>
        </w:rPr>
        <w:t>ANR</w:t>
      </w:r>
      <w:r w:rsidR="00DF2B36" w:rsidRPr="008F07F2">
        <w:rPr>
          <w:rFonts w:ascii="Times New Roman" w:hAnsi="Times New Roman" w:cs="Times New Roman"/>
        </w:rPr>
        <w:t xml:space="preserve"> suggests</w:t>
      </w:r>
      <w:r w:rsidRPr="008F07F2">
        <w:rPr>
          <w:rFonts w:ascii="Times New Roman" w:hAnsi="Times New Roman" w:cs="Times New Roman"/>
        </w:rPr>
        <w:t xml:space="preserve"> that the </w:t>
      </w:r>
      <w:r w:rsidR="00DF2B36" w:rsidRPr="008F07F2">
        <w:rPr>
          <w:rFonts w:ascii="Times New Roman" w:hAnsi="Times New Roman" w:cs="Times New Roman"/>
        </w:rPr>
        <w:t>conditions necessary to support</w:t>
      </w:r>
      <w:r w:rsidRPr="008F07F2">
        <w:rPr>
          <w:rFonts w:ascii="Times New Roman" w:hAnsi="Times New Roman" w:cs="Times New Roman"/>
        </w:rPr>
        <w:t xml:space="preserve"> aquatic biota, wildlife, and aquatic habitat </w:t>
      </w:r>
      <w:r w:rsidR="00DF2B36" w:rsidRPr="008F07F2">
        <w:rPr>
          <w:rFonts w:ascii="Times New Roman" w:hAnsi="Times New Roman" w:cs="Times New Roman"/>
        </w:rPr>
        <w:t>in the Green River conflict</w:t>
      </w:r>
      <w:r w:rsidRPr="008F07F2">
        <w:rPr>
          <w:rFonts w:ascii="Times New Roman" w:hAnsi="Times New Roman" w:cs="Times New Roman"/>
        </w:rPr>
        <w:t xml:space="preserve"> with the </w:t>
      </w:r>
      <w:r w:rsidR="00DF2B36" w:rsidRPr="008F07F2">
        <w:rPr>
          <w:rFonts w:ascii="Times New Roman" w:hAnsi="Times New Roman" w:cs="Times New Roman"/>
        </w:rPr>
        <w:t>conditions to support</w:t>
      </w:r>
      <w:r w:rsidRPr="008F07F2">
        <w:rPr>
          <w:rFonts w:ascii="Times New Roman" w:hAnsi="Times New Roman" w:cs="Times New Roman"/>
        </w:rPr>
        <w:t xml:space="preserve"> whitewater boating.  It is important to establish at the outset that this is not the case.  </w:t>
      </w:r>
      <w:r w:rsidR="00FF1F9C" w:rsidRPr="008F07F2">
        <w:rPr>
          <w:rFonts w:ascii="Times New Roman" w:hAnsi="Times New Roman" w:cs="Times New Roman"/>
        </w:rPr>
        <w:t>Instead</w:t>
      </w:r>
      <w:r w:rsidRPr="008F07F2">
        <w:rPr>
          <w:rFonts w:ascii="Times New Roman" w:hAnsi="Times New Roman" w:cs="Times New Roman"/>
        </w:rPr>
        <w:t xml:space="preserve">, the evidence introduced at trial established that these two uses are fully compatible, and that the conditions necessary to support whitewater boating also more closely approximate </w:t>
      </w:r>
      <w:r w:rsidR="00FF1F9C" w:rsidRPr="008F07F2">
        <w:rPr>
          <w:rFonts w:ascii="Times New Roman" w:hAnsi="Times New Roman" w:cs="Times New Roman"/>
        </w:rPr>
        <w:t xml:space="preserve">natural, </w:t>
      </w:r>
      <w:r w:rsidRPr="008F07F2">
        <w:rPr>
          <w:rFonts w:ascii="Times New Roman" w:hAnsi="Times New Roman" w:cs="Times New Roman"/>
        </w:rPr>
        <w:t xml:space="preserve">true run-of-the-river conditions. </w:t>
      </w:r>
    </w:p>
    <w:p w14:paraId="03F41301" w14:textId="088514F1" w:rsidR="0073464A" w:rsidRPr="008F07F2" w:rsidRDefault="0073464A" w:rsidP="003D51EB">
      <w:pPr>
        <w:rPr>
          <w:rFonts w:ascii="Times New Roman" w:hAnsi="Times New Roman" w:cs="Times New Roman"/>
        </w:rPr>
      </w:pPr>
      <w:r w:rsidRPr="008F07F2">
        <w:rPr>
          <w:rFonts w:ascii="Times New Roman" w:hAnsi="Times New Roman" w:cs="Times New Roman"/>
        </w:rPr>
        <w:t>ANR offered no evidence at trial that conditions necessary to support whitewater boating</w:t>
      </w:r>
      <w:r w:rsidR="00F90917">
        <w:rPr>
          <w:rFonts w:ascii="Times New Roman" w:hAnsi="Times New Roman" w:cs="Times New Roman"/>
        </w:rPr>
        <w:t>, including seasonally appropriate scheduled releases,</w:t>
      </w:r>
      <w:r w:rsidRPr="008F07F2">
        <w:rPr>
          <w:rFonts w:ascii="Times New Roman" w:hAnsi="Times New Roman" w:cs="Times New Roman"/>
        </w:rPr>
        <w:t xml:space="preserve"> will conflict with conditions required to support aquatic biota, wildlife, and aquatic habitat.  See Tr. (04.09.2018) at 185–95, (04.10.2018) at 107–09.  By contrast, there was compelling evidence that conditions necessary to support the two uses do not conflict. Tr. (04.03.2018) at 78; Tr. (04.04.2018) at 74–77.  </w:t>
      </w:r>
    </w:p>
    <w:p w14:paraId="4589B3CD" w14:textId="4CD903B2" w:rsidR="001423C9" w:rsidRPr="008F07F2" w:rsidRDefault="00A82EB2" w:rsidP="003D51EB">
      <w:pPr>
        <w:rPr>
          <w:rFonts w:ascii="Times New Roman" w:hAnsi="Times New Roman" w:cs="Times New Roman"/>
        </w:rPr>
      </w:pPr>
      <w:r w:rsidRPr="008F07F2">
        <w:rPr>
          <w:rFonts w:ascii="Times New Roman" w:hAnsi="Times New Roman" w:cs="Times New Roman"/>
        </w:rPr>
        <w:t xml:space="preserve">Under </w:t>
      </w:r>
      <w:r w:rsidR="00342A4A" w:rsidRPr="008F07F2">
        <w:rPr>
          <w:rFonts w:ascii="Times New Roman" w:hAnsi="Times New Roman" w:cs="Times New Roman"/>
        </w:rPr>
        <w:t xml:space="preserve">existing </w:t>
      </w:r>
      <w:r w:rsidRPr="008F07F2">
        <w:rPr>
          <w:rFonts w:ascii="Times New Roman" w:hAnsi="Times New Roman" w:cs="Times New Roman"/>
        </w:rPr>
        <w:t>conditions</w:t>
      </w:r>
      <w:r w:rsidR="00BE3898" w:rsidRPr="008F07F2">
        <w:rPr>
          <w:rFonts w:ascii="Times New Roman" w:hAnsi="Times New Roman" w:cs="Times New Roman"/>
        </w:rPr>
        <w:t xml:space="preserve"> prior to the </w:t>
      </w:r>
      <w:r w:rsidR="00342A4A" w:rsidRPr="008F07F2">
        <w:rPr>
          <w:rFonts w:ascii="Times New Roman" w:hAnsi="Times New Roman" w:cs="Times New Roman"/>
        </w:rPr>
        <w:t>2016 WQC</w:t>
      </w:r>
      <w:r w:rsidRPr="008F07F2">
        <w:rPr>
          <w:rFonts w:ascii="Times New Roman" w:hAnsi="Times New Roman" w:cs="Times New Roman"/>
        </w:rPr>
        <w:t xml:space="preserve">, the maximum generation flow on the Green River </w:t>
      </w:r>
      <w:r w:rsidR="00342A4A" w:rsidRPr="008F07F2">
        <w:rPr>
          <w:rFonts w:ascii="Times New Roman" w:hAnsi="Times New Roman" w:cs="Times New Roman"/>
        </w:rPr>
        <w:t xml:space="preserve">from May to October </w:t>
      </w:r>
      <w:r w:rsidRPr="008F07F2">
        <w:rPr>
          <w:rFonts w:ascii="Times New Roman" w:hAnsi="Times New Roman" w:cs="Times New Roman"/>
        </w:rPr>
        <w:t>is 160</w:t>
      </w:r>
      <w:r w:rsidR="00FF1F9C" w:rsidRPr="008F07F2">
        <w:rPr>
          <w:rFonts w:ascii="Times New Roman" w:hAnsi="Times New Roman" w:cs="Times New Roman"/>
        </w:rPr>
        <w:t xml:space="preserve"> cubic feet per second (“</w:t>
      </w:r>
      <w:proofErr w:type="spellStart"/>
      <w:r w:rsidRPr="008F07F2">
        <w:rPr>
          <w:rFonts w:ascii="Times New Roman" w:hAnsi="Times New Roman" w:cs="Times New Roman"/>
        </w:rPr>
        <w:t>cfs</w:t>
      </w:r>
      <w:proofErr w:type="spellEnd"/>
      <w:r w:rsidR="00FF1F9C" w:rsidRPr="008F07F2">
        <w:rPr>
          <w:rFonts w:ascii="Times New Roman" w:hAnsi="Times New Roman" w:cs="Times New Roman"/>
        </w:rPr>
        <w:t>”)</w:t>
      </w:r>
      <w:r w:rsidRPr="008F07F2">
        <w:rPr>
          <w:rFonts w:ascii="Times New Roman" w:hAnsi="Times New Roman" w:cs="Times New Roman"/>
        </w:rPr>
        <w:t xml:space="preserve"> and from November to April the maximum generation flow is 283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PC at </w:t>
      </w:r>
      <w:r w:rsidR="00342A4A" w:rsidRPr="008F07F2">
        <w:rPr>
          <w:rFonts w:ascii="Times New Roman" w:hAnsi="Times New Roman" w:cs="Times New Roman"/>
        </w:rPr>
        <w:t xml:space="preserve">12, </w:t>
      </w:r>
      <w:r w:rsidRPr="008F07F2">
        <w:rPr>
          <w:rFonts w:ascii="Times New Roman" w:hAnsi="Times New Roman" w:cs="Times New Roman"/>
        </w:rPr>
        <w:t xml:space="preserve">53. </w:t>
      </w:r>
      <w:r w:rsidR="00342A4A" w:rsidRPr="008F07F2">
        <w:rPr>
          <w:rFonts w:ascii="Times New Roman" w:hAnsi="Times New Roman" w:cs="Times New Roman"/>
        </w:rPr>
        <w:t xml:space="preserve"> Flow rates also depend on reservoir fluctuation requirements.  Current, pre-2016 WQC conditions allow a one-foot fluctuation from </w:t>
      </w:r>
      <w:r w:rsidR="00F90917">
        <w:rPr>
          <w:rFonts w:ascii="Times New Roman" w:hAnsi="Times New Roman" w:cs="Times New Roman"/>
        </w:rPr>
        <w:t>M</w:t>
      </w:r>
      <w:r w:rsidR="00342A4A" w:rsidRPr="008F07F2">
        <w:rPr>
          <w:rFonts w:ascii="Times New Roman" w:hAnsi="Times New Roman" w:cs="Times New Roman"/>
        </w:rPr>
        <w:t>ay to October, and a ten-foot fluctuation from December 1 to April 30 (the winter drawdown).  PC at 12–13.</w:t>
      </w:r>
      <w:r w:rsidRPr="008F07F2">
        <w:rPr>
          <w:rFonts w:ascii="Times New Roman" w:hAnsi="Times New Roman" w:cs="Times New Roman"/>
        </w:rPr>
        <w:t xml:space="preserve"> </w:t>
      </w:r>
      <w:r w:rsidR="00342A4A" w:rsidRPr="008F07F2">
        <w:rPr>
          <w:rFonts w:ascii="Times New Roman" w:hAnsi="Times New Roman" w:cs="Times New Roman"/>
        </w:rPr>
        <w:t xml:space="preserve">Actual winter drawdown averages 3.7 feet.  </w:t>
      </w:r>
      <w:r w:rsidR="00342A4A" w:rsidRPr="008F07F2">
        <w:rPr>
          <w:rFonts w:ascii="Times New Roman" w:hAnsi="Times New Roman" w:cs="Times New Roman"/>
          <w:i/>
        </w:rPr>
        <w:t>Id</w:t>
      </w:r>
      <w:r w:rsidR="00342A4A" w:rsidRPr="008F07F2">
        <w:rPr>
          <w:rFonts w:ascii="Times New Roman" w:hAnsi="Times New Roman" w:cs="Times New Roman"/>
        </w:rPr>
        <w:t xml:space="preserve">. at 13. </w:t>
      </w:r>
      <w:r w:rsidR="00342A4A" w:rsidRPr="008F07F2">
        <w:rPr>
          <w:rFonts w:ascii="Times New Roman" w:hAnsi="Times New Roman" w:cs="Times New Roman"/>
          <w:i/>
        </w:rPr>
        <w:t xml:space="preserve"> </w:t>
      </w:r>
      <w:r w:rsidR="007631E1" w:rsidRPr="008F07F2">
        <w:rPr>
          <w:rFonts w:ascii="Times New Roman" w:hAnsi="Times New Roman" w:cs="Times New Roman"/>
        </w:rPr>
        <w:t>Safe w</w:t>
      </w:r>
      <w:r w:rsidRPr="008F07F2">
        <w:rPr>
          <w:rFonts w:ascii="Times New Roman" w:hAnsi="Times New Roman" w:cs="Times New Roman"/>
        </w:rPr>
        <w:t xml:space="preserve">hitewater boating on the Green River requires a minimum flow between 128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and 140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while a flow of 222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w:t>
      </w:r>
      <w:r w:rsidRPr="008F07F2">
        <w:rPr>
          <w:rFonts w:ascii="Times New Roman" w:hAnsi="Times New Roman" w:cs="Times New Roman"/>
        </w:rPr>
        <w:lastRenderedPageBreak/>
        <w:t xml:space="preserve">provides the best flow level for a standard run and a flow of 280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provides the best level for a highly challenging run.  PC at 16.  </w:t>
      </w:r>
      <w:r w:rsidR="001423C9" w:rsidRPr="008F07F2">
        <w:rPr>
          <w:rFonts w:ascii="Times New Roman" w:hAnsi="Times New Roman" w:cs="Times New Roman"/>
        </w:rPr>
        <w:t xml:space="preserve">Whitewater boating occurs year-round on the Green River both on naturally-occurring high-flow events, and on scheduled releases, of which there </w:t>
      </w:r>
      <w:r w:rsidR="00F90917">
        <w:rPr>
          <w:rFonts w:ascii="Times New Roman" w:hAnsi="Times New Roman" w:cs="Times New Roman"/>
        </w:rPr>
        <w:t xml:space="preserve">have long been </w:t>
      </w:r>
      <w:r w:rsidR="001423C9" w:rsidRPr="008F07F2">
        <w:rPr>
          <w:rFonts w:ascii="Times New Roman" w:hAnsi="Times New Roman" w:cs="Times New Roman"/>
        </w:rPr>
        <w:t xml:space="preserve">two to three per year.  PC at </w:t>
      </w:r>
      <w:r w:rsidRPr="008F07F2">
        <w:rPr>
          <w:rFonts w:ascii="Times New Roman" w:hAnsi="Times New Roman" w:cs="Times New Roman"/>
        </w:rPr>
        <w:t xml:space="preserve">16.  </w:t>
      </w:r>
    </w:p>
    <w:p w14:paraId="4EC3A048" w14:textId="49E33322" w:rsidR="001423C9" w:rsidRPr="008F07F2" w:rsidRDefault="00A82EB2" w:rsidP="003D51EB">
      <w:pPr>
        <w:rPr>
          <w:rFonts w:ascii="Times New Roman" w:hAnsi="Times New Roman" w:cs="Times New Roman"/>
        </w:rPr>
      </w:pPr>
      <w:r w:rsidRPr="008F07F2">
        <w:rPr>
          <w:rFonts w:ascii="Times New Roman" w:hAnsi="Times New Roman" w:cs="Times New Roman"/>
        </w:rPr>
        <w:t>With these existing high flow events, the Green River has good channel and bank integrity and little bank erosion and scour.  PC at 19.  In addition, e</w:t>
      </w:r>
      <w:r w:rsidR="001423C9" w:rsidRPr="008F07F2">
        <w:rPr>
          <w:rFonts w:ascii="Times New Roman" w:hAnsi="Times New Roman" w:cs="Times New Roman"/>
        </w:rPr>
        <w:t xml:space="preserve">vidence at trial demonstrated that the Green River has a self-sustaining population of native trout, excellent natural reproduction of fish, and full support of aquatic biota and habitat. </w:t>
      </w:r>
      <w:r w:rsidRPr="008F07F2">
        <w:rPr>
          <w:rFonts w:ascii="Times New Roman" w:hAnsi="Times New Roman" w:cs="Times New Roman"/>
        </w:rPr>
        <w:t xml:space="preserve"> </w:t>
      </w:r>
      <w:r w:rsidR="001423C9" w:rsidRPr="008F07F2">
        <w:rPr>
          <w:rFonts w:ascii="Times New Roman" w:hAnsi="Times New Roman" w:cs="Times New Roman"/>
        </w:rPr>
        <w:t>PC at 19.  All life cycle functions like overwintering and reproductive requirements are maintained and protected under existing conditions</w:t>
      </w:r>
      <w:r w:rsidR="00482CEF" w:rsidRPr="008F07F2">
        <w:rPr>
          <w:rFonts w:ascii="Times New Roman" w:hAnsi="Times New Roman" w:cs="Times New Roman"/>
        </w:rPr>
        <w:t>, which include scheduled whitewater boating releases</w:t>
      </w:r>
      <w:r w:rsidR="001423C9" w:rsidRPr="008F07F2">
        <w:rPr>
          <w:rFonts w:ascii="Times New Roman" w:hAnsi="Times New Roman" w:cs="Times New Roman"/>
        </w:rPr>
        <w:t xml:space="preserve">.  </w:t>
      </w:r>
      <w:r w:rsidR="001423C9" w:rsidRPr="008F07F2">
        <w:rPr>
          <w:rFonts w:ascii="Times New Roman" w:hAnsi="Times New Roman" w:cs="Times New Roman"/>
          <w:i/>
        </w:rPr>
        <w:t>Id</w:t>
      </w:r>
      <w:r w:rsidR="001423C9" w:rsidRPr="008F07F2">
        <w:rPr>
          <w:rFonts w:ascii="Times New Roman" w:hAnsi="Times New Roman" w:cs="Times New Roman"/>
        </w:rPr>
        <w:t xml:space="preserve">. </w:t>
      </w:r>
    </w:p>
    <w:p w14:paraId="41E8B7B5" w14:textId="16B1E35A" w:rsidR="0073464A" w:rsidRPr="008F07F2" w:rsidRDefault="00FF1F9C" w:rsidP="003D51EB">
      <w:pPr>
        <w:rPr>
          <w:rFonts w:ascii="Times New Roman" w:hAnsi="Times New Roman" w:cs="Times New Roman"/>
        </w:rPr>
      </w:pPr>
      <w:r w:rsidRPr="008F07F2">
        <w:rPr>
          <w:rFonts w:ascii="Times New Roman" w:hAnsi="Times New Roman" w:cs="Times New Roman"/>
        </w:rPr>
        <w:t>Evidence at trial further</w:t>
      </w:r>
      <w:r w:rsidR="00A82EB2" w:rsidRPr="008F07F2">
        <w:rPr>
          <w:rFonts w:ascii="Times New Roman" w:hAnsi="Times New Roman" w:cs="Times New Roman"/>
        </w:rPr>
        <w:t xml:space="preserve"> demonstrated that the high-flow events that support whitewater boating bring the river closer to a natural flow regime and support a healthy aquatic habitat.</w:t>
      </w:r>
      <w:r w:rsidR="00227491" w:rsidRPr="00227491">
        <w:rPr>
          <w:rStyle w:val="FootnoteReference"/>
          <w:rFonts w:ascii="Times New Roman" w:hAnsi="Times New Roman" w:cs="Times New Roman"/>
        </w:rPr>
        <w:t xml:space="preserve"> </w:t>
      </w:r>
      <w:r w:rsidR="00227491">
        <w:rPr>
          <w:rStyle w:val="FootnoteReference"/>
          <w:rFonts w:ascii="Times New Roman" w:hAnsi="Times New Roman" w:cs="Times New Roman"/>
        </w:rPr>
        <w:footnoteReference w:id="2"/>
      </w:r>
      <w:r w:rsidR="00227491" w:rsidRPr="008F07F2">
        <w:rPr>
          <w:rFonts w:ascii="Times New Roman" w:hAnsi="Times New Roman" w:cs="Times New Roman"/>
        </w:rPr>
        <w:t xml:space="preserve"> </w:t>
      </w:r>
      <w:r w:rsidR="00A82EB2" w:rsidRPr="008F07F2">
        <w:rPr>
          <w:rFonts w:ascii="Times New Roman" w:hAnsi="Times New Roman" w:cs="Times New Roman"/>
        </w:rPr>
        <w:t xml:space="preserve">  </w:t>
      </w:r>
      <w:r w:rsidR="0073464A" w:rsidRPr="008F07F2">
        <w:rPr>
          <w:rFonts w:ascii="Times New Roman" w:hAnsi="Times New Roman" w:cs="Times New Roman"/>
        </w:rPr>
        <w:t>Tr. (04.03.2018) at 78, (04.04.2018) at 58–65</w:t>
      </w:r>
      <w:r w:rsidRPr="008F07F2">
        <w:rPr>
          <w:rFonts w:ascii="Times New Roman" w:hAnsi="Times New Roman" w:cs="Times New Roman"/>
        </w:rPr>
        <w:t>, 69–70</w:t>
      </w:r>
      <w:r w:rsidR="0073464A" w:rsidRPr="008F07F2">
        <w:rPr>
          <w:rFonts w:ascii="Times New Roman" w:hAnsi="Times New Roman" w:cs="Times New Roman"/>
        </w:rPr>
        <w:t xml:space="preserve">; </w:t>
      </w:r>
      <w:r w:rsidR="00A82EB2" w:rsidRPr="008F07F2">
        <w:rPr>
          <w:rFonts w:ascii="Times New Roman" w:hAnsi="Times New Roman" w:cs="Times New Roman"/>
        </w:rPr>
        <w:t xml:space="preserve">(04.09.2018) at 186; </w:t>
      </w:r>
      <w:r w:rsidR="0073464A" w:rsidRPr="008F07F2">
        <w:rPr>
          <w:rFonts w:ascii="Times New Roman" w:hAnsi="Times New Roman" w:cs="Times New Roman"/>
        </w:rPr>
        <w:t xml:space="preserve">(04.10.2018) at 104.  This means that scheduled releases that would support whitewater boating can be made without negatively affecting </w:t>
      </w:r>
      <w:r w:rsidR="00D90DA6" w:rsidRPr="008F07F2">
        <w:rPr>
          <w:rFonts w:ascii="Times New Roman" w:hAnsi="Times New Roman" w:cs="Times New Roman"/>
        </w:rPr>
        <w:t xml:space="preserve">the </w:t>
      </w:r>
      <w:r w:rsidR="0073464A" w:rsidRPr="008F07F2">
        <w:rPr>
          <w:rFonts w:ascii="Times New Roman" w:hAnsi="Times New Roman" w:cs="Times New Roman"/>
        </w:rPr>
        <w:t xml:space="preserve">quality of water necessary to support aquatic habitat and biota and other designated uses. Tr. (04.04.2018) at 81–82, 91–95, 163–68.  The evidence </w:t>
      </w:r>
      <w:r w:rsidR="00587B14" w:rsidRPr="008F07F2">
        <w:rPr>
          <w:rFonts w:ascii="Times New Roman" w:hAnsi="Times New Roman" w:cs="Times New Roman"/>
        </w:rPr>
        <w:t xml:space="preserve">introduced at trial </w:t>
      </w:r>
      <w:r w:rsidR="0073464A" w:rsidRPr="008F07F2">
        <w:rPr>
          <w:rFonts w:ascii="Times New Roman" w:hAnsi="Times New Roman" w:cs="Times New Roman"/>
        </w:rPr>
        <w:t xml:space="preserve">specifically indicated that whitewater releases could be made in April, late summer, and fall without adversely affecting aquatic habitat or other uses.  Tr. (04.03.2018) at 79, 112–114; Tr. (04.04.2018) at 97–98. </w:t>
      </w:r>
    </w:p>
    <w:p w14:paraId="17DC7485" w14:textId="0D71F8FC" w:rsidR="0073464A" w:rsidRPr="008F07F2" w:rsidRDefault="00A82EB2" w:rsidP="003D51EB">
      <w:pPr>
        <w:rPr>
          <w:rFonts w:ascii="Times New Roman" w:hAnsi="Times New Roman" w:cs="Times New Roman"/>
        </w:rPr>
      </w:pPr>
      <w:r w:rsidRPr="008F07F2">
        <w:rPr>
          <w:rFonts w:ascii="Times New Roman" w:hAnsi="Times New Roman" w:cs="Times New Roman"/>
        </w:rPr>
        <w:t xml:space="preserve">By contrast, </w:t>
      </w:r>
      <w:r w:rsidR="0073464A" w:rsidRPr="008F07F2">
        <w:rPr>
          <w:rFonts w:ascii="Times New Roman" w:hAnsi="Times New Roman" w:cs="Times New Roman"/>
        </w:rPr>
        <w:t>ANR’s flow prescription does not restore true run-of-river flows to the Green River.  Tr. (04.04.2018) at 130–31, 151–52</w:t>
      </w:r>
      <w:r w:rsidRPr="008F07F2">
        <w:rPr>
          <w:rFonts w:ascii="Times New Roman" w:hAnsi="Times New Roman" w:cs="Times New Roman"/>
        </w:rPr>
        <w:t>, (04.09.2018) at 73</w:t>
      </w:r>
      <w:r w:rsidR="00482CEF" w:rsidRPr="008F07F2">
        <w:rPr>
          <w:rFonts w:ascii="Times New Roman" w:hAnsi="Times New Roman" w:cs="Times New Roman"/>
        </w:rPr>
        <w:t xml:space="preserve">.  </w:t>
      </w:r>
      <w:r w:rsidR="00227491">
        <w:rPr>
          <w:rFonts w:ascii="Times New Roman" w:hAnsi="Times New Roman" w:cs="Times New Roman"/>
        </w:rPr>
        <w:t>T</w:t>
      </w:r>
      <w:r w:rsidR="00482CEF" w:rsidRPr="008F07F2">
        <w:rPr>
          <w:rFonts w:ascii="Times New Roman" w:hAnsi="Times New Roman" w:cs="Times New Roman"/>
        </w:rPr>
        <w:t xml:space="preserve">he </w:t>
      </w:r>
      <w:r w:rsidR="00227491">
        <w:rPr>
          <w:rFonts w:ascii="Times New Roman" w:hAnsi="Times New Roman" w:cs="Times New Roman"/>
        </w:rPr>
        <w:t xml:space="preserve">ANR </w:t>
      </w:r>
      <w:r w:rsidR="00482CEF" w:rsidRPr="008F07F2">
        <w:rPr>
          <w:rFonts w:ascii="Times New Roman" w:hAnsi="Times New Roman" w:cs="Times New Roman"/>
        </w:rPr>
        <w:t>flow prescriptions</w:t>
      </w:r>
      <w:r w:rsidR="0073464A" w:rsidRPr="008F07F2">
        <w:rPr>
          <w:rFonts w:ascii="Times New Roman" w:hAnsi="Times New Roman" w:cs="Times New Roman"/>
        </w:rPr>
        <w:t xml:space="preserve"> alter </w:t>
      </w:r>
      <w:r w:rsidR="0073464A" w:rsidRPr="008F07F2">
        <w:rPr>
          <w:rFonts w:ascii="Times New Roman" w:hAnsi="Times New Roman" w:cs="Times New Roman"/>
        </w:rPr>
        <w:lastRenderedPageBreak/>
        <w:t xml:space="preserve">the natural flow regime by allowing limited store-and-release operations in the winter, requiring the storage of inflows for reservoir refill, and requiring minimum conservation flows that exceed inflows. </w:t>
      </w:r>
      <w:r w:rsidR="00D90DA6" w:rsidRPr="008F07F2">
        <w:rPr>
          <w:rFonts w:ascii="Times New Roman" w:hAnsi="Times New Roman" w:cs="Times New Roman"/>
        </w:rPr>
        <w:t xml:space="preserve">PC at 57–59. </w:t>
      </w:r>
      <w:r w:rsidR="00227491">
        <w:rPr>
          <w:rFonts w:ascii="Times New Roman" w:hAnsi="Times New Roman" w:cs="Times New Roman"/>
        </w:rPr>
        <w:t xml:space="preserve"> These proposed flows simply champion one artificial flow regime over all others without meaningful consideration of the impact to existing recreational uses.</w:t>
      </w:r>
      <w:r w:rsidR="0073464A" w:rsidRPr="008F07F2">
        <w:rPr>
          <w:rFonts w:ascii="Times New Roman" w:hAnsi="Times New Roman" w:cs="Times New Roman"/>
        </w:rPr>
        <w:t xml:space="preserve"> </w:t>
      </w:r>
    </w:p>
    <w:p w14:paraId="7F6EDD04" w14:textId="62C18D90" w:rsidR="0073464A" w:rsidRPr="008F07F2" w:rsidRDefault="00482CEF" w:rsidP="003D51EB">
      <w:pPr>
        <w:rPr>
          <w:rFonts w:ascii="Times New Roman" w:hAnsi="Times New Roman" w:cs="Times New Roman"/>
        </w:rPr>
      </w:pPr>
      <w:r w:rsidRPr="008F07F2">
        <w:rPr>
          <w:rFonts w:ascii="Times New Roman" w:hAnsi="Times New Roman" w:cs="Times New Roman"/>
        </w:rPr>
        <w:t xml:space="preserve">For these reasons, </w:t>
      </w:r>
      <w:r w:rsidR="0073464A" w:rsidRPr="008F07F2">
        <w:rPr>
          <w:rFonts w:ascii="Times New Roman" w:hAnsi="Times New Roman" w:cs="Times New Roman"/>
        </w:rPr>
        <w:t xml:space="preserve">there is no </w:t>
      </w:r>
      <w:r w:rsidR="00227491">
        <w:rPr>
          <w:rFonts w:ascii="Times New Roman" w:hAnsi="Times New Roman" w:cs="Times New Roman"/>
        </w:rPr>
        <w:t xml:space="preserve">degradation </w:t>
      </w:r>
      <w:r w:rsidR="001B4DAC">
        <w:rPr>
          <w:rFonts w:ascii="Times New Roman" w:hAnsi="Times New Roman" w:cs="Times New Roman"/>
        </w:rPr>
        <w:t xml:space="preserve">to habitat or designated uses </w:t>
      </w:r>
      <w:r w:rsidR="00227491">
        <w:rPr>
          <w:rFonts w:ascii="Times New Roman" w:hAnsi="Times New Roman" w:cs="Times New Roman"/>
        </w:rPr>
        <w:t>created by affirming the Environmental Divisions’ c</w:t>
      </w:r>
      <w:r w:rsidR="001B4DAC">
        <w:rPr>
          <w:rFonts w:ascii="Times New Roman" w:hAnsi="Times New Roman" w:cs="Times New Roman"/>
        </w:rPr>
        <w:t>onclusions and conditions.  In making this decision, t</w:t>
      </w:r>
      <w:r w:rsidR="001B4DAC" w:rsidRPr="008F07F2">
        <w:rPr>
          <w:rFonts w:ascii="Times New Roman" w:hAnsi="Times New Roman" w:cs="Times New Roman"/>
        </w:rPr>
        <w:t xml:space="preserve">he trial court </w:t>
      </w:r>
      <w:r w:rsidR="001B4DAC">
        <w:rPr>
          <w:rFonts w:ascii="Times New Roman" w:hAnsi="Times New Roman" w:cs="Times New Roman"/>
        </w:rPr>
        <w:t xml:space="preserve">looked to the testimony and evidence and </w:t>
      </w:r>
      <w:r w:rsidR="001B4DAC" w:rsidRPr="008F07F2">
        <w:rPr>
          <w:rFonts w:ascii="Times New Roman" w:hAnsi="Times New Roman" w:cs="Times New Roman"/>
        </w:rPr>
        <w:t>found ample support in the record below.</w:t>
      </w:r>
      <w:r w:rsidR="001B4DAC">
        <w:rPr>
          <w:rFonts w:ascii="Times New Roman" w:hAnsi="Times New Roman" w:cs="Times New Roman"/>
        </w:rPr>
        <w:t xml:space="preserve">  The court’s </w:t>
      </w:r>
      <w:r w:rsidR="00227491">
        <w:rPr>
          <w:rFonts w:ascii="Times New Roman" w:hAnsi="Times New Roman" w:cs="Times New Roman"/>
        </w:rPr>
        <w:t xml:space="preserve">conditions do not create a conflict </w:t>
      </w:r>
      <w:r w:rsidR="0073464A" w:rsidRPr="008F07F2">
        <w:rPr>
          <w:rFonts w:ascii="Times New Roman" w:hAnsi="Times New Roman" w:cs="Times New Roman"/>
        </w:rPr>
        <w:t>between the designated use of aquatic biota, wildlife, and aquatic habitat, and the existing use of whitewater boating.</w:t>
      </w:r>
      <w:r w:rsidR="001B4DAC">
        <w:rPr>
          <w:rFonts w:ascii="Times New Roman" w:hAnsi="Times New Roman" w:cs="Times New Roman"/>
        </w:rPr>
        <w:t xml:space="preserve">  Therefore, it is both reasonable and within the Environmental Court’s fact-finding discretion to protect the existing whitewater use.  Apart from the arguments below, this is a </w:t>
      </w:r>
      <w:proofErr w:type="gramStart"/>
      <w:r w:rsidR="001B4DAC">
        <w:rPr>
          <w:rFonts w:ascii="Times New Roman" w:hAnsi="Times New Roman" w:cs="Times New Roman"/>
        </w:rPr>
        <w:t>sufficient</w:t>
      </w:r>
      <w:proofErr w:type="gramEnd"/>
      <w:r w:rsidR="001B4DAC">
        <w:rPr>
          <w:rFonts w:ascii="Times New Roman" w:hAnsi="Times New Roman" w:cs="Times New Roman"/>
        </w:rPr>
        <w:t xml:space="preserve"> basis to affirm the Environmental Division.</w:t>
      </w:r>
    </w:p>
    <w:p w14:paraId="5B21E653" w14:textId="77777777" w:rsidR="000B5427" w:rsidRPr="008F07F2" w:rsidRDefault="000B5427" w:rsidP="000B5427">
      <w:pPr>
        <w:pStyle w:val="Heading2"/>
      </w:pPr>
      <w:bookmarkStart w:id="9" w:name="_Toc535838874"/>
      <w:r w:rsidRPr="008F07F2">
        <w:t>The WQC and the Flow Regime Requested by ANR Violate State and Federal Regulations by Failing to Safeguard Conditions Necessary to Support the Existing Use of Whitewater Boating.</w:t>
      </w:r>
      <w:bookmarkEnd w:id="9"/>
      <w:r w:rsidRPr="008F07F2">
        <w:t xml:space="preserve"> </w:t>
      </w:r>
    </w:p>
    <w:p w14:paraId="3E8DF25E" w14:textId="77777777" w:rsidR="000B5427" w:rsidRPr="008F07F2" w:rsidRDefault="000B5427" w:rsidP="000B5427">
      <w:pPr>
        <w:pStyle w:val="Heading3"/>
      </w:pPr>
      <w:bookmarkStart w:id="10" w:name="_Toc535838875"/>
      <w:r w:rsidRPr="008F07F2">
        <w:t>The WQC Must Provide for Conditions Supporting Whitewater Boating as an Existing Use.</w:t>
      </w:r>
      <w:bookmarkEnd w:id="10"/>
      <w:r w:rsidRPr="008F07F2">
        <w:t xml:space="preserve"> </w:t>
      </w:r>
    </w:p>
    <w:p w14:paraId="6697CF6C" w14:textId="390F4038" w:rsidR="000B5427" w:rsidRPr="008F07F2" w:rsidRDefault="000B5427" w:rsidP="000B5427">
      <w:pPr>
        <w:rPr>
          <w:rFonts w:ascii="Times New Roman" w:hAnsi="Times New Roman" w:cs="Times New Roman"/>
        </w:rPr>
      </w:pPr>
      <w:r w:rsidRPr="008F07F2">
        <w:rPr>
          <w:rFonts w:ascii="Times New Roman" w:hAnsi="Times New Roman" w:cs="Times New Roman"/>
        </w:rPr>
        <w:t>The C</w:t>
      </w:r>
      <w:r w:rsidR="00690BB0" w:rsidRPr="008F07F2">
        <w:rPr>
          <w:rFonts w:ascii="Times New Roman" w:hAnsi="Times New Roman" w:cs="Times New Roman"/>
        </w:rPr>
        <w:t xml:space="preserve">lean </w:t>
      </w:r>
      <w:r w:rsidRPr="008F07F2">
        <w:rPr>
          <w:rFonts w:ascii="Times New Roman" w:hAnsi="Times New Roman" w:cs="Times New Roman"/>
        </w:rPr>
        <w:t>W</w:t>
      </w:r>
      <w:r w:rsidR="00690BB0" w:rsidRPr="008F07F2">
        <w:rPr>
          <w:rFonts w:ascii="Times New Roman" w:hAnsi="Times New Roman" w:cs="Times New Roman"/>
        </w:rPr>
        <w:t xml:space="preserve">ater </w:t>
      </w:r>
      <w:r w:rsidRPr="008F07F2">
        <w:rPr>
          <w:rFonts w:ascii="Times New Roman" w:hAnsi="Times New Roman" w:cs="Times New Roman"/>
        </w:rPr>
        <w:t>A</w:t>
      </w:r>
      <w:r w:rsidR="00690BB0" w:rsidRPr="008F07F2">
        <w:rPr>
          <w:rFonts w:ascii="Times New Roman" w:hAnsi="Times New Roman" w:cs="Times New Roman"/>
        </w:rPr>
        <w:t>ct</w:t>
      </w:r>
      <w:r w:rsidR="00DF1F00" w:rsidRPr="008F07F2">
        <w:rPr>
          <w:rFonts w:ascii="Times New Roman" w:hAnsi="Times New Roman" w:cs="Times New Roman"/>
        </w:rPr>
        <w:t xml:space="preserve"> (CWA)</w:t>
      </w:r>
      <w:r w:rsidRPr="008F07F2">
        <w:rPr>
          <w:rFonts w:ascii="Times New Roman" w:hAnsi="Times New Roman" w:cs="Times New Roman"/>
        </w:rPr>
        <w:t>, the federal regulations implementing it, and the V</w:t>
      </w:r>
      <w:r w:rsidR="00690BB0" w:rsidRPr="008F07F2">
        <w:rPr>
          <w:rFonts w:ascii="Times New Roman" w:hAnsi="Times New Roman" w:cs="Times New Roman"/>
        </w:rPr>
        <w:t xml:space="preserve">ermont </w:t>
      </w:r>
      <w:r w:rsidRPr="008F07F2">
        <w:rPr>
          <w:rFonts w:ascii="Times New Roman" w:hAnsi="Times New Roman" w:cs="Times New Roman"/>
        </w:rPr>
        <w:t>W</w:t>
      </w:r>
      <w:r w:rsidR="00690BB0" w:rsidRPr="008F07F2">
        <w:rPr>
          <w:rFonts w:ascii="Times New Roman" w:hAnsi="Times New Roman" w:cs="Times New Roman"/>
        </w:rPr>
        <w:t xml:space="preserve">ater </w:t>
      </w:r>
      <w:r w:rsidRPr="008F07F2">
        <w:rPr>
          <w:rFonts w:ascii="Times New Roman" w:hAnsi="Times New Roman" w:cs="Times New Roman"/>
        </w:rPr>
        <w:t>Q</w:t>
      </w:r>
      <w:r w:rsidR="00690BB0" w:rsidRPr="008F07F2">
        <w:rPr>
          <w:rFonts w:ascii="Times New Roman" w:hAnsi="Times New Roman" w:cs="Times New Roman"/>
        </w:rPr>
        <w:t xml:space="preserve">uality </w:t>
      </w:r>
      <w:proofErr w:type="gramStart"/>
      <w:r w:rsidRPr="008F07F2">
        <w:rPr>
          <w:rFonts w:ascii="Times New Roman" w:hAnsi="Times New Roman" w:cs="Times New Roman"/>
        </w:rPr>
        <w:t>S</w:t>
      </w:r>
      <w:r w:rsidR="00690BB0" w:rsidRPr="008F07F2">
        <w:rPr>
          <w:rFonts w:ascii="Times New Roman" w:hAnsi="Times New Roman" w:cs="Times New Roman"/>
        </w:rPr>
        <w:t>tandards</w:t>
      </w:r>
      <w:r w:rsidR="00DF1F00" w:rsidRPr="008F07F2">
        <w:rPr>
          <w:rFonts w:ascii="Times New Roman" w:hAnsi="Times New Roman" w:cs="Times New Roman"/>
        </w:rPr>
        <w:t>(</w:t>
      </w:r>
      <w:proofErr w:type="gramEnd"/>
      <w:r w:rsidR="00DF1F00" w:rsidRPr="008F07F2">
        <w:rPr>
          <w:rFonts w:ascii="Times New Roman" w:hAnsi="Times New Roman" w:cs="Times New Roman"/>
        </w:rPr>
        <w:t>VWQS)</w:t>
      </w:r>
      <w:r w:rsidRPr="008F07F2">
        <w:rPr>
          <w:rFonts w:ascii="Times New Roman" w:hAnsi="Times New Roman" w:cs="Times New Roman"/>
        </w:rPr>
        <w:t xml:space="preserve"> require recreational uses and aquatic life uses that are either desig</w:t>
      </w:r>
      <w:bookmarkStart w:id="11" w:name="_GoBack"/>
      <w:bookmarkEnd w:id="11"/>
      <w:r w:rsidRPr="008F07F2">
        <w:rPr>
          <w:rFonts w:ascii="Times New Roman" w:hAnsi="Times New Roman" w:cs="Times New Roman"/>
        </w:rPr>
        <w:t xml:space="preserve">nated uses </w:t>
      </w:r>
      <w:r w:rsidR="00D90DA6" w:rsidRPr="008F07F2">
        <w:rPr>
          <w:rFonts w:ascii="Times New Roman" w:hAnsi="Times New Roman" w:cs="Times New Roman"/>
        </w:rPr>
        <w:t>or</w:t>
      </w:r>
      <w:r w:rsidRPr="008F07F2">
        <w:rPr>
          <w:rFonts w:ascii="Times New Roman" w:hAnsi="Times New Roman" w:cs="Times New Roman"/>
        </w:rPr>
        <w:t xml:space="preserve"> existing uses to be protected.  Recreational and aquatic life uses are to be protected equally, whether they are classified as designated or existing.  ANR’s suggestion that there is a hierarchy between designated and existing uses, </w:t>
      </w:r>
      <w:r w:rsidR="00D90DA6" w:rsidRPr="008F07F2">
        <w:rPr>
          <w:rFonts w:ascii="Times New Roman" w:hAnsi="Times New Roman" w:cs="Times New Roman"/>
        </w:rPr>
        <w:t>or</w:t>
      </w:r>
      <w:r w:rsidRPr="008F07F2">
        <w:rPr>
          <w:rFonts w:ascii="Times New Roman" w:hAnsi="Times New Roman" w:cs="Times New Roman"/>
        </w:rPr>
        <w:t xml:space="preserve"> between recreational uses and aquatic life uses</w:t>
      </w:r>
      <w:r w:rsidR="00740620">
        <w:rPr>
          <w:rFonts w:ascii="Times New Roman" w:hAnsi="Times New Roman" w:cs="Times New Roman"/>
        </w:rPr>
        <w:t>,</w:t>
      </w:r>
      <w:r w:rsidR="005C1D00" w:rsidRPr="008F07F2">
        <w:rPr>
          <w:rFonts w:ascii="Times New Roman" w:hAnsi="Times New Roman" w:cs="Times New Roman"/>
        </w:rPr>
        <w:t xml:space="preserve"> is inconsistent with the plain language of the CWA, federal regulations implementing the CWA, and federal agency interpretations.  ANR’s</w:t>
      </w:r>
      <w:r w:rsidRPr="008F07F2">
        <w:rPr>
          <w:rFonts w:ascii="Times New Roman" w:hAnsi="Times New Roman" w:cs="Times New Roman"/>
        </w:rPr>
        <w:t xml:space="preserve"> argument that it need only protect existing uses that require a higher level of water quality </w:t>
      </w:r>
      <w:r w:rsidR="00F8656A" w:rsidRPr="008F07F2">
        <w:rPr>
          <w:rFonts w:ascii="Times New Roman" w:hAnsi="Times New Roman" w:cs="Times New Roman"/>
        </w:rPr>
        <w:t>than designated uses</w:t>
      </w:r>
      <w:r w:rsidR="00966185" w:rsidRPr="008F07F2">
        <w:rPr>
          <w:rFonts w:ascii="Times New Roman" w:hAnsi="Times New Roman" w:cs="Times New Roman"/>
        </w:rPr>
        <w:t xml:space="preserve"> also</w:t>
      </w:r>
      <w:r w:rsidR="00F8656A" w:rsidRPr="008F07F2">
        <w:rPr>
          <w:rFonts w:ascii="Times New Roman" w:hAnsi="Times New Roman" w:cs="Times New Roman"/>
        </w:rPr>
        <w:t xml:space="preserve"> </w:t>
      </w:r>
      <w:r w:rsidRPr="008F07F2">
        <w:rPr>
          <w:rFonts w:ascii="Times New Roman" w:hAnsi="Times New Roman" w:cs="Times New Roman"/>
        </w:rPr>
        <w:t xml:space="preserve">run counter to the CWA, federal regulations, and federal agency interpretation.  </w:t>
      </w:r>
    </w:p>
    <w:p w14:paraId="68FD42D1" w14:textId="77777777" w:rsidR="000B5427" w:rsidRPr="008F07F2" w:rsidRDefault="000B5427" w:rsidP="000B5427">
      <w:pPr>
        <w:rPr>
          <w:rFonts w:ascii="Times New Roman" w:hAnsi="Times New Roman" w:cs="Times New Roman"/>
        </w:rPr>
      </w:pPr>
      <w:r w:rsidRPr="008F07F2">
        <w:rPr>
          <w:rFonts w:ascii="Times New Roman" w:hAnsi="Times New Roman" w:cs="Times New Roman"/>
        </w:rPr>
        <w:lastRenderedPageBreak/>
        <w:t>Section 101 of the CWA provides that, “it is the national goal that wherever attainable, an interim goal of water quality which provides for the protection and propagation of fish, shellfish, and wildlife and provides for recreation in and on the water be achieved by July 1, 1983.” 33 U.S.C. § 1251(a)(2)</w:t>
      </w:r>
      <w:r w:rsidRPr="008F07F2">
        <w:rPr>
          <w:rFonts w:ascii="Times New Roman" w:hAnsi="Times New Roman" w:cs="Times New Roman"/>
        </w:rPr>
        <w:fldChar w:fldCharType="begin"/>
      </w:r>
      <w:r w:rsidRPr="008F07F2">
        <w:rPr>
          <w:rFonts w:ascii="Times New Roman" w:hAnsi="Times New Roman" w:cs="Times New Roman"/>
        </w:rPr>
        <w:instrText xml:space="preserve"> TA \l "33 U.S.C. § 1251(a)(2)" \s "1251(a)(2)" \c 2 </w:instrText>
      </w:r>
      <w:r w:rsidRPr="008F07F2">
        <w:rPr>
          <w:rFonts w:ascii="Times New Roman" w:hAnsi="Times New Roman" w:cs="Times New Roman"/>
        </w:rPr>
        <w:fldChar w:fldCharType="end"/>
      </w:r>
      <w:r w:rsidRPr="008F07F2">
        <w:rPr>
          <w:rFonts w:ascii="Times New Roman" w:hAnsi="Times New Roman" w:cs="Times New Roman"/>
        </w:rPr>
        <w:t xml:space="preserve"> (emphasis added).   </w:t>
      </w:r>
    </w:p>
    <w:p w14:paraId="56F92AEF" w14:textId="2C2D6B7B" w:rsidR="000B5427" w:rsidRPr="008F07F2" w:rsidRDefault="000B5427" w:rsidP="000B5427">
      <w:pPr>
        <w:rPr>
          <w:rFonts w:ascii="Times New Roman" w:hAnsi="Times New Roman" w:cs="Times New Roman"/>
        </w:rPr>
      </w:pPr>
      <w:r w:rsidRPr="008F07F2">
        <w:rPr>
          <w:rFonts w:ascii="Times New Roman" w:hAnsi="Times New Roman" w:cs="Times New Roman"/>
        </w:rPr>
        <w:t>ANR elides the fact that these “fishable/</w:t>
      </w:r>
      <w:proofErr w:type="spellStart"/>
      <w:r w:rsidRPr="008F07F2">
        <w:rPr>
          <w:rFonts w:ascii="Times New Roman" w:hAnsi="Times New Roman" w:cs="Times New Roman"/>
        </w:rPr>
        <w:t>swimable</w:t>
      </w:r>
      <w:proofErr w:type="spellEnd"/>
      <w:r w:rsidRPr="008F07F2">
        <w:rPr>
          <w:rFonts w:ascii="Times New Roman" w:hAnsi="Times New Roman" w:cs="Times New Roman"/>
        </w:rPr>
        <w:t xml:space="preserve"> use designations,” or “101(a)(2) uses” include recreational uses such as whitewater boating.  Whitewater boating is a recreational use, is therefore also a 101(a)(2) use, and therefore deserves the same protection as </w:t>
      </w:r>
      <w:r w:rsidR="000E126A" w:rsidRPr="008F07F2">
        <w:rPr>
          <w:rFonts w:ascii="Times New Roman" w:hAnsi="Times New Roman" w:cs="Times New Roman"/>
        </w:rPr>
        <w:t xml:space="preserve">any </w:t>
      </w:r>
      <w:r w:rsidRPr="008F07F2">
        <w:rPr>
          <w:rFonts w:ascii="Times New Roman" w:hAnsi="Times New Roman" w:cs="Times New Roman"/>
        </w:rPr>
        <w:t>other 101(a)(2) use</w:t>
      </w:r>
      <w:r w:rsidR="00966185" w:rsidRPr="008F07F2">
        <w:rPr>
          <w:rFonts w:ascii="Times New Roman" w:hAnsi="Times New Roman" w:cs="Times New Roman"/>
        </w:rPr>
        <w:t>, whether that use is a “designated use” or an “</w:t>
      </w:r>
      <w:r w:rsidR="00380326">
        <w:rPr>
          <w:rFonts w:ascii="Times New Roman" w:hAnsi="Times New Roman" w:cs="Times New Roman"/>
        </w:rPr>
        <w:t>existing</w:t>
      </w:r>
      <w:r w:rsidR="00380326" w:rsidRPr="008F07F2">
        <w:rPr>
          <w:rFonts w:ascii="Times New Roman" w:hAnsi="Times New Roman" w:cs="Times New Roman"/>
        </w:rPr>
        <w:t xml:space="preserve"> </w:t>
      </w:r>
      <w:r w:rsidR="00966185" w:rsidRPr="008F07F2">
        <w:rPr>
          <w:rFonts w:ascii="Times New Roman" w:hAnsi="Times New Roman" w:cs="Times New Roman"/>
        </w:rPr>
        <w:t>use</w:t>
      </w:r>
      <w:r w:rsidRPr="008F07F2">
        <w:rPr>
          <w:rFonts w:ascii="Times New Roman" w:hAnsi="Times New Roman" w:cs="Times New Roman"/>
        </w:rPr>
        <w:t>.</w:t>
      </w:r>
      <w:r w:rsidR="00966185" w:rsidRPr="008F07F2">
        <w:rPr>
          <w:rFonts w:ascii="Times New Roman" w:hAnsi="Times New Roman" w:cs="Times New Roman"/>
        </w:rPr>
        <w:t>”</w:t>
      </w:r>
    </w:p>
    <w:p w14:paraId="2FF0F8F4" w14:textId="77777777" w:rsidR="000B5427" w:rsidRPr="008F07F2" w:rsidRDefault="000B5427" w:rsidP="000B5427">
      <w:pPr>
        <w:rPr>
          <w:rFonts w:ascii="Times New Roman" w:hAnsi="Times New Roman" w:cs="Times New Roman"/>
        </w:rPr>
      </w:pPr>
      <w:r w:rsidRPr="008F07F2">
        <w:rPr>
          <w:rFonts w:ascii="Times New Roman" w:hAnsi="Times New Roman" w:cs="Times New Roman"/>
        </w:rPr>
        <w:t>The CWA requires states to develop water quality standards to meet CWA goals, including the protection of 101(a)(2)</w:t>
      </w:r>
      <w:r w:rsidR="00F8656A" w:rsidRPr="008F07F2">
        <w:rPr>
          <w:rFonts w:ascii="Times New Roman" w:hAnsi="Times New Roman" w:cs="Times New Roman"/>
        </w:rPr>
        <w:t xml:space="preserve"> uses.  33 U.S.C. §</w:t>
      </w:r>
      <w:r w:rsidRPr="008F07F2">
        <w:rPr>
          <w:rFonts w:ascii="Times New Roman" w:hAnsi="Times New Roman" w:cs="Times New Roman"/>
        </w:rPr>
        <w:t xml:space="preserve"> 1313(a)</w:t>
      </w:r>
      <w:r w:rsidRPr="008F07F2">
        <w:rPr>
          <w:rFonts w:ascii="Times New Roman" w:hAnsi="Times New Roman" w:cs="Times New Roman"/>
        </w:rPr>
        <w:fldChar w:fldCharType="begin"/>
      </w:r>
      <w:r w:rsidRPr="008F07F2">
        <w:rPr>
          <w:rFonts w:ascii="Times New Roman" w:hAnsi="Times New Roman" w:cs="Times New Roman"/>
        </w:rPr>
        <w:instrText xml:space="preserve"> TA \l "33 U.S.C. § 1313(a)" \s "1313(a)" \c 2 </w:instrText>
      </w:r>
      <w:r w:rsidRPr="008F07F2">
        <w:rPr>
          <w:rFonts w:ascii="Times New Roman" w:hAnsi="Times New Roman" w:cs="Times New Roman"/>
        </w:rPr>
        <w:fldChar w:fldCharType="end"/>
      </w:r>
      <w:r w:rsidRPr="008F07F2">
        <w:rPr>
          <w:rFonts w:ascii="Times New Roman" w:hAnsi="Times New Roman" w:cs="Times New Roman"/>
        </w:rPr>
        <w:t>, (c)</w:t>
      </w:r>
      <w:r w:rsidRPr="008F07F2">
        <w:rPr>
          <w:rFonts w:ascii="Times New Roman" w:hAnsi="Times New Roman" w:cs="Times New Roman"/>
        </w:rPr>
        <w:fldChar w:fldCharType="begin"/>
      </w:r>
      <w:r w:rsidRPr="008F07F2">
        <w:rPr>
          <w:rFonts w:ascii="Times New Roman" w:hAnsi="Times New Roman" w:cs="Times New Roman"/>
        </w:rPr>
        <w:instrText xml:space="preserve"> TA \l "33 U.S.C. § 1313(c)" \s "1313(c)" \c 2 </w:instrText>
      </w:r>
      <w:r w:rsidRPr="008F07F2">
        <w:rPr>
          <w:rFonts w:ascii="Times New Roman" w:hAnsi="Times New Roman" w:cs="Times New Roman"/>
        </w:rPr>
        <w:fldChar w:fldCharType="end"/>
      </w:r>
      <w:r w:rsidRPr="008F07F2">
        <w:rPr>
          <w:rFonts w:ascii="Times New Roman" w:hAnsi="Times New Roman" w:cs="Times New Roman"/>
        </w:rPr>
        <w:t>.  Water quality standards must include designated uses of given waterbodies and criteria to support those uses, 33 U.S.C. § 1313(c)(2)(A)</w:t>
      </w:r>
      <w:r w:rsidRPr="008F07F2">
        <w:rPr>
          <w:rFonts w:ascii="Times New Roman" w:hAnsi="Times New Roman" w:cs="Times New Roman"/>
        </w:rPr>
        <w:fldChar w:fldCharType="begin"/>
      </w:r>
      <w:r w:rsidRPr="008F07F2">
        <w:rPr>
          <w:rFonts w:ascii="Times New Roman" w:hAnsi="Times New Roman" w:cs="Times New Roman"/>
        </w:rPr>
        <w:instrText xml:space="preserve"> TA \l "33 U.S.C. § 1313(c)(2)(A)" \s "1313(c)(2)(A)" \c 2 </w:instrText>
      </w:r>
      <w:r w:rsidRPr="008F07F2">
        <w:rPr>
          <w:rFonts w:ascii="Times New Roman" w:hAnsi="Times New Roman" w:cs="Times New Roman"/>
        </w:rPr>
        <w:fldChar w:fldCharType="end"/>
      </w:r>
      <w:r w:rsidRPr="008F07F2">
        <w:rPr>
          <w:rFonts w:ascii="Times New Roman" w:hAnsi="Times New Roman" w:cs="Times New Roman"/>
        </w:rPr>
        <w:t>, and an antidegradation policy to maintain water quality necessary to support existing uses, 33 U.S.C. § 1313(d)(4)(B)</w:t>
      </w:r>
      <w:r w:rsidRPr="008F07F2">
        <w:rPr>
          <w:rFonts w:ascii="Times New Roman" w:hAnsi="Times New Roman" w:cs="Times New Roman"/>
        </w:rPr>
        <w:fldChar w:fldCharType="begin"/>
      </w:r>
      <w:r w:rsidRPr="008F07F2">
        <w:rPr>
          <w:rFonts w:ascii="Times New Roman" w:hAnsi="Times New Roman" w:cs="Times New Roman"/>
        </w:rPr>
        <w:instrText xml:space="preserve"> TA \l "33 U.S.C. § 1313(d)(4)(B)" \s "1313(d)(4)(B)" \c 2 </w:instrText>
      </w:r>
      <w:r w:rsidRPr="008F07F2">
        <w:rPr>
          <w:rFonts w:ascii="Times New Roman" w:hAnsi="Times New Roman" w:cs="Times New Roman"/>
        </w:rPr>
        <w:fldChar w:fldCharType="end"/>
      </w:r>
      <w:r w:rsidRPr="008F07F2">
        <w:rPr>
          <w:rFonts w:ascii="Times New Roman" w:hAnsi="Times New Roman" w:cs="Times New Roman"/>
        </w:rPr>
        <w:t>. See 40 C.F.R. § 131.10</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131.10" \s "131.10" \c 6 </w:instrText>
      </w:r>
      <w:r w:rsidRPr="008F07F2">
        <w:rPr>
          <w:rFonts w:ascii="Times New Roman" w:hAnsi="Times New Roman" w:cs="Times New Roman"/>
        </w:rPr>
        <w:fldChar w:fldCharType="end"/>
      </w:r>
      <w:r w:rsidRPr="008F07F2">
        <w:rPr>
          <w:rFonts w:ascii="Times New Roman" w:hAnsi="Times New Roman" w:cs="Times New Roman"/>
        </w:rPr>
        <w:t>–1</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131.11" \s "131.11" \c 6 </w:instrText>
      </w:r>
      <w:r w:rsidRPr="008F07F2">
        <w:rPr>
          <w:rFonts w:ascii="Times New Roman" w:hAnsi="Times New Roman" w:cs="Times New Roman"/>
        </w:rPr>
        <w:fldChar w:fldCharType="end"/>
      </w:r>
      <w:r w:rsidRPr="008F07F2">
        <w:rPr>
          <w:rFonts w:ascii="Times New Roman" w:hAnsi="Times New Roman" w:cs="Times New Roman"/>
        </w:rPr>
        <w:t>2</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131.12" \s "131.12" \c 6 </w:instrText>
      </w:r>
      <w:r w:rsidRPr="008F07F2">
        <w:rPr>
          <w:rFonts w:ascii="Times New Roman" w:hAnsi="Times New Roman" w:cs="Times New Roman"/>
        </w:rPr>
        <w:fldChar w:fldCharType="end"/>
      </w:r>
      <w:r w:rsidRPr="008F07F2">
        <w:rPr>
          <w:rFonts w:ascii="Times New Roman" w:hAnsi="Times New Roman" w:cs="Times New Roman"/>
        </w:rPr>
        <w:t>.  The VWQS are designed to meet these requirements.  VWQS § 1-02</w:t>
      </w:r>
      <w:r w:rsidRPr="008F07F2">
        <w:rPr>
          <w:rFonts w:ascii="Times New Roman" w:hAnsi="Times New Roman" w:cs="Times New Roman"/>
        </w:rPr>
        <w:fldChar w:fldCharType="begin"/>
      </w:r>
      <w:r w:rsidRPr="008F07F2">
        <w:rPr>
          <w:rFonts w:ascii="Times New Roman" w:hAnsi="Times New Roman" w:cs="Times New Roman"/>
        </w:rPr>
        <w:instrText xml:space="preserve"> TA \l "Vermont Water Quality Standards § 1-02" \s "1-02" \c 6 </w:instrText>
      </w:r>
      <w:r w:rsidRPr="008F07F2">
        <w:rPr>
          <w:rFonts w:ascii="Times New Roman" w:hAnsi="Times New Roman" w:cs="Times New Roman"/>
        </w:rPr>
        <w:fldChar w:fldCharType="end"/>
      </w:r>
      <w:r w:rsidRPr="008F07F2">
        <w:rPr>
          <w:rFonts w:ascii="Times New Roman" w:hAnsi="Times New Roman" w:cs="Times New Roman"/>
        </w:rPr>
        <w:t xml:space="preserve">. </w:t>
      </w:r>
    </w:p>
    <w:p w14:paraId="4A8B7238" w14:textId="418B6A06" w:rsidR="000B5427" w:rsidRPr="008F07F2" w:rsidRDefault="000B5427" w:rsidP="000B5427">
      <w:pPr>
        <w:rPr>
          <w:rFonts w:ascii="Times New Roman" w:hAnsi="Times New Roman" w:cs="Times New Roman"/>
        </w:rPr>
      </w:pPr>
      <w:r w:rsidRPr="008F07F2">
        <w:rPr>
          <w:rFonts w:ascii="Times New Roman" w:hAnsi="Times New Roman" w:cs="Times New Roman"/>
        </w:rPr>
        <w:t>A designated use is a</w:t>
      </w:r>
      <w:r w:rsidR="00966185" w:rsidRPr="008F07F2">
        <w:rPr>
          <w:rFonts w:ascii="Times New Roman" w:hAnsi="Times New Roman" w:cs="Times New Roman"/>
        </w:rPr>
        <w:t xml:space="preserve"> 101(a)(2)</w:t>
      </w:r>
      <w:r w:rsidRPr="008F07F2">
        <w:rPr>
          <w:rFonts w:ascii="Times New Roman" w:hAnsi="Times New Roman" w:cs="Times New Roman"/>
        </w:rPr>
        <w:t xml:space="preserve"> use that is specified in water quality standards, </w:t>
      </w:r>
      <w:proofErr w:type="gramStart"/>
      <w:r w:rsidRPr="008F07F2">
        <w:rPr>
          <w:rFonts w:ascii="Times New Roman" w:hAnsi="Times New Roman" w:cs="Times New Roman"/>
        </w:rPr>
        <w:t>whether or not</w:t>
      </w:r>
      <w:proofErr w:type="gramEnd"/>
      <w:r w:rsidRPr="008F07F2">
        <w:rPr>
          <w:rFonts w:ascii="Times New Roman" w:hAnsi="Times New Roman" w:cs="Times New Roman"/>
        </w:rPr>
        <w:t xml:space="preserve"> it is actually being attained.  40 C.F.R. §§ 131.3(f)</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131.3(f)" \s "131.3(f)" \c 6 </w:instrText>
      </w:r>
      <w:r w:rsidRPr="008F07F2">
        <w:rPr>
          <w:rFonts w:ascii="Times New Roman" w:hAnsi="Times New Roman" w:cs="Times New Roman"/>
        </w:rPr>
        <w:fldChar w:fldCharType="end"/>
      </w:r>
      <w:r w:rsidRPr="008F07F2">
        <w:rPr>
          <w:rFonts w:ascii="Times New Roman" w:hAnsi="Times New Roman" w:cs="Times New Roman"/>
        </w:rPr>
        <w:t>, 131.10</w:t>
      </w:r>
      <w:r w:rsidRPr="008F07F2">
        <w:rPr>
          <w:rFonts w:ascii="Times New Roman" w:hAnsi="Times New Roman" w:cs="Times New Roman"/>
        </w:rPr>
        <w:fldChar w:fldCharType="begin"/>
      </w:r>
      <w:r w:rsidRPr="008F07F2">
        <w:rPr>
          <w:rFonts w:ascii="Times New Roman" w:hAnsi="Times New Roman" w:cs="Times New Roman"/>
        </w:rPr>
        <w:instrText xml:space="preserve"> TA \s "131.10" </w:instrText>
      </w:r>
      <w:r w:rsidRPr="008F07F2">
        <w:rPr>
          <w:rFonts w:ascii="Times New Roman" w:hAnsi="Times New Roman" w:cs="Times New Roman"/>
        </w:rPr>
        <w:fldChar w:fldCharType="end"/>
      </w:r>
      <w:r w:rsidRPr="008F07F2">
        <w:rPr>
          <w:rFonts w:ascii="Times New Roman" w:hAnsi="Times New Roman" w:cs="Times New Roman"/>
        </w:rPr>
        <w:t>; VWQS § 1-01(B)(14)</w:t>
      </w:r>
      <w:r w:rsidRPr="008F07F2">
        <w:rPr>
          <w:rFonts w:ascii="Times New Roman" w:hAnsi="Times New Roman" w:cs="Times New Roman"/>
        </w:rPr>
        <w:fldChar w:fldCharType="begin"/>
      </w:r>
      <w:r w:rsidRPr="008F07F2">
        <w:rPr>
          <w:rFonts w:ascii="Times New Roman" w:hAnsi="Times New Roman" w:cs="Times New Roman"/>
        </w:rPr>
        <w:instrText xml:space="preserve"> TA \l "Vermont Water Quality Standards § 1-01(B)(14)" \s "1-01(B)(14)" \c 6 </w:instrText>
      </w:r>
      <w:r w:rsidRPr="008F07F2">
        <w:rPr>
          <w:rFonts w:ascii="Times New Roman" w:hAnsi="Times New Roman" w:cs="Times New Roman"/>
        </w:rPr>
        <w:fldChar w:fldCharType="end"/>
      </w:r>
      <w:r w:rsidRPr="008F07F2">
        <w:rPr>
          <w:rFonts w:ascii="Times New Roman" w:hAnsi="Times New Roman" w:cs="Times New Roman"/>
        </w:rPr>
        <w:t>.  Water quality standards must include criteria that protect each designated use.  40 C.F.R. § 131.11</w:t>
      </w:r>
      <w:r w:rsidRPr="008F07F2">
        <w:rPr>
          <w:rFonts w:ascii="Times New Roman" w:hAnsi="Times New Roman" w:cs="Times New Roman"/>
        </w:rPr>
        <w:fldChar w:fldCharType="begin"/>
      </w:r>
      <w:r w:rsidRPr="008F07F2">
        <w:rPr>
          <w:rFonts w:ascii="Times New Roman" w:hAnsi="Times New Roman" w:cs="Times New Roman"/>
        </w:rPr>
        <w:instrText xml:space="preserve"> TA \s "131.11" </w:instrText>
      </w:r>
      <w:r w:rsidRPr="008F07F2">
        <w:rPr>
          <w:rFonts w:ascii="Times New Roman" w:hAnsi="Times New Roman" w:cs="Times New Roman"/>
        </w:rPr>
        <w:fldChar w:fldCharType="end"/>
      </w:r>
      <w:r w:rsidRPr="008F07F2">
        <w:rPr>
          <w:rFonts w:ascii="Times New Roman" w:hAnsi="Times New Roman" w:cs="Times New Roman"/>
        </w:rPr>
        <w:t>.  For the Class B waters at issue here, the VWQS specify the following designated uses: 1) Aquatic Biota, Wildlife, and Aquatic Habitat; 2) Aesthetics; 3) Public water supply; 4) Irrigation of crops and other agricultural uses; 5) Swimming and other primary contact recreation; 6) Boating, fishing and other recreational uses.  VWQS § 3-04</w:t>
      </w:r>
      <w:r w:rsidRPr="008F07F2">
        <w:rPr>
          <w:rFonts w:ascii="Times New Roman" w:hAnsi="Times New Roman" w:cs="Times New Roman"/>
        </w:rPr>
        <w:fldChar w:fldCharType="begin"/>
      </w:r>
      <w:r w:rsidRPr="008F07F2">
        <w:rPr>
          <w:rFonts w:ascii="Times New Roman" w:hAnsi="Times New Roman" w:cs="Times New Roman"/>
        </w:rPr>
        <w:instrText xml:space="preserve"> TA \l "Vermont Water Quality Standards § 3-04" \s "3-04" \c 6 </w:instrText>
      </w:r>
      <w:r w:rsidRPr="008F07F2">
        <w:rPr>
          <w:rFonts w:ascii="Times New Roman" w:hAnsi="Times New Roman" w:cs="Times New Roman"/>
        </w:rPr>
        <w:fldChar w:fldCharType="end"/>
      </w:r>
      <w:r w:rsidRPr="008F07F2">
        <w:rPr>
          <w:rFonts w:ascii="Times New Roman" w:hAnsi="Times New Roman" w:cs="Times New Roman"/>
        </w:rPr>
        <w:t>.</w:t>
      </w:r>
    </w:p>
    <w:p w14:paraId="62A9B66B" w14:textId="0784110A" w:rsidR="000B5427" w:rsidRPr="008F07F2" w:rsidRDefault="000B5427" w:rsidP="000B5427">
      <w:pPr>
        <w:rPr>
          <w:rFonts w:ascii="Times New Roman" w:hAnsi="Times New Roman" w:cs="Times New Roman"/>
        </w:rPr>
      </w:pPr>
      <w:r w:rsidRPr="008F07F2">
        <w:rPr>
          <w:rFonts w:ascii="Times New Roman" w:hAnsi="Times New Roman" w:cs="Times New Roman"/>
        </w:rPr>
        <w:t>An existing use is a</w:t>
      </w:r>
      <w:r w:rsidR="00966185" w:rsidRPr="008F07F2">
        <w:rPr>
          <w:rFonts w:ascii="Times New Roman" w:hAnsi="Times New Roman" w:cs="Times New Roman"/>
        </w:rPr>
        <w:t xml:space="preserve"> 101(a)(2)</w:t>
      </w:r>
      <w:r w:rsidRPr="008F07F2">
        <w:rPr>
          <w:rFonts w:ascii="Times New Roman" w:hAnsi="Times New Roman" w:cs="Times New Roman"/>
        </w:rPr>
        <w:t xml:space="preserve"> use “actually attained in the water body on or after November 28, 1975, whether or not [it is] included in the water quality standards.” 40 C.F.R. § 131.3(e)</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131.3(e)" \s "131.3(e)" \c 6 </w:instrText>
      </w:r>
      <w:r w:rsidRPr="008F07F2">
        <w:rPr>
          <w:rFonts w:ascii="Times New Roman" w:hAnsi="Times New Roman" w:cs="Times New Roman"/>
        </w:rPr>
        <w:fldChar w:fldCharType="end"/>
      </w:r>
      <w:r w:rsidRPr="008F07F2">
        <w:rPr>
          <w:rFonts w:ascii="Times New Roman" w:hAnsi="Times New Roman" w:cs="Times New Roman"/>
        </w:rPr>
        <w:t xml:space="preserve">.  </w:t>
      </w:r>
      <w:r w:rsidRPr="008F07F2">
        <w:rPr>
          <w:rFonts w:ascii="Times New Roman" w:hAnsi="Times New Roman" w:cs="Times New Roman"/>
        </w:rPr>
        <w:lastRenderedPageBreak/>
        <w:t>Existing uses must be “maintained and protected” by a state’s antidegradation policy.  40 C.F.R. § 131.12(a)(l)</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131.12(a)(1)" \s "131.12(a)(1)" \c 6 </w:instrText>
      </w:r>
      <w:r w:rsidRPr="008F07F2">
        <w:rPr>
          <w:rFonts w:ascii="Times New Roman" w:hAnsi="Times New Roman" w:cs="Times New Roman"/>
        </w:rPr>
        <w:fldChar w:fldCharType="end"/>
      </w:r>
      <w:r w:rsidRPr="008F07F2">
        <w:rPr>
          <w:rFonts w:ascii="Times New Roman" w:hAnsi="Times New Roman" w:cs="Times New Roman"/>
        </w:rPr>
        <w:t xml:space="preserve">.  States must also “develop methods for implementing” their antidegradation policies.  </w:t>
      </w:r>
      <w:r w:rsidRPr="008F07F2">
        <w:rPr>
          <w:rFonts w:ascii="Times New Roman" w:hAnsi="Times New Roman" w:cs="Times New Roman"/>
          <w:i/>
        </w:rPr>
        <w:t>Id</w:t>
      </w:r>
      <w:r w:rsidRPr="008F07F2">
        <w:rPr>
          <w:rFonts w:ascii="Times New Roman" w:hAnsi="Times New Roman" w:cs="Times New Roman"/>
        </w:rPr>
        <w:t>. § 131.12(b)</w:t>
      </w:r>
      <w:r w:rsidRPr="008F07F2">
        <w:rPr>
          <w:rFonts w:ascii="Times New Roman" w:hAnsi="Times New Roman" w:cs="Times New Roman"/>
        </w:rPr>
        <w:fldChar w:fldCharType="begin"/>
      </w:r>
      <w:r w:rsidRPr="008F07F2">
        <w:rPr>
          <w:rFonts w:ascii="Times New Roman" w:hAnsi="Times New Roman" w:cs="Times New Roman"/>
        </w:rPr>
        <w:instrText xml:space="preserve"> TA \l "40 C.F.R. § 131.12(b)" \s "131.12(b)" \c 6 </w:instrText>
      </w:r>
      <w:r w:rsidRPr="008F07F2">
        <w:rPr>
          <w:rFonts w:ascii="Times New Roman" w:hAnsi="Times New Roman" w:cs="Times New Roman"/>
        </w:rPr>
        <w:fldChar w:fldCharType="end"/>
      </w:r>
      <w:r w:rsidRPr="008F07F2">
        <w:rPr>
          <w:rFonts w:ascii="Times New Roman" w:hAnsi="Times New Roman" w:cs="Times New Roman"/>
        </w:rPr>
        <w:t>.  Consistent with the CWA and its implementing regulations, the VWQS includes an antidegradation policy that protects existing uses, including existing recreational uses.  VWQS § 1-03(B)(1)(c)</w:t>
      </w:r>
      <w:r w:rsidRPr="008F07F2">
        <w:rPr>
          <w:rFonts w:ascii="Times New Roman" w:hAnsi="Times New Roman" w:cs="Times New Roman"/>
        </w:rPr>
        <w:fldChar w:fldCharType="begin"/>
      </w:r>
      <w:r w:rsidRPr="008F07F2">
        <w:rPr>
          <w:rFonts w:ascii="Times New Roman" w:hAnsi="Times New Roman" w:cs="Times New Roman"/>
        </w:rPr>
        <w:instrText xml:space="preserve"> TA \l "Vermont Water Quality Standards § 1-03(B)(1)(c)" \s "1-03(B)(1)(c)" \c 6 </w:instrText>
      </w:r>
      <w:r w:rsidRPr="008F07F2">
        <w:rPr>
          <w:rFonts w:ascii="Times New Roman" w:hAnsi="Times New Roman" w:cs="Times New Roman"/>
        </w:rPr>
        <w:fldChar w:fldCharType="end"/>
      </w:r>
      <w:r w:rsidRPr="008F07F2">
        <w:rPr>
          <w:rFonts w:ascii="Times New Roman" w:hAnsi="Times New Roman" w:cs="Times New Roman"/>
        </w:rPr>
        <w:t>.  ANR has also issued a written antidegradation procedure.  ANR Interim Anti-Degradation Implementation Procedure, October 12, 2010</w:t>
      </w:r>
      <w:r w:rsidRPr="008F07F2">
        <w:rPr>
          <w:rFonts w:ascii="Times New Roman" w:hAnsi="Times New Roman" w:cs="Times New Roman"/>
        </w:rPr>
        <w:fldChar w:fldCharType="begin"/>
      </w:r>
      <w:r w:rsidRPr="008F07F2">
        <w:rPr>
          <w:rFonts w:ascii="Times New Roman" w:hAnsi="Times New Roman" w:cs="Times New Roman"/>
        </w:rPr>
        <w:instrText xml:space="preserve"> TA \l "ANR Interim Anti-Degradation Implementation Procedure, October 12, 2010" \s "Interim Anti-Degradation" \c 3 </w:instrText>
      </w:r>
      <w:r w:rsidRPr="008F07F2">
        <w:rPr>
          <w:rFonts w:ascii="Times New Roman" w:hAnsi="Times New Roman" w:cs="Times New Roman"/>
        </w:rPr>
        <w:fldChar w:fldCharType="end"/>
      </w:r>
      <w:r w:rsidRPr="008F07F2">
        <w:rPr>
          <w:rFonts w:ascii="Times New Roman" w:hAnsi="Times New Roman" w:cs="Times New Roman"/>
        </w:rPr>
        <w:t>; available at: https://bit.ly/2K1sg1O.</w:t>
      </w:r>
    </w:p>
    <w:p w14:paraId="23C80C2D" w14:textId="77777777" w:rsidR="000B5427" w:rsidRPr="008F07F2" w:rsidRDefault="000B5427" w:rsidP="000B5427">
      <w:pPr>
        <w:rPr>
          <w:rFonts w:ascii="Times New Roman" w:hAnsi="Times New Roman" w:cs="Times New Roman"/>
        </w:rPr>
      </w:pPr>
      <w:r w:rsidRPr="008F07F2">
        <w:rPr>
          <w:rFonts w:ascii="Times New Roman" w:hAnsi="Times New Roman" w:cs="Times New Roman"/>
        </w:rPr>
        <w:t>Vermont’s antidegradation policy provides that “[i]n all cases, the level of water quality necessary to maintain and protect all existing uses as well as applicable water quality criteria shall be maintained.”  VWQS § 1-03(C)(1)</w:t>
      </w:r>
      <w:r w:rsidRPr="008F07F2">
        <w:rPr>
          <w:rFonts w:ascii="Times New Roman" w:hAnsi="Times New Roman" w:cs="Times New Roman"/>
        </w:rPr>
        <w:fldChar w:fldCharType="begin"/>
      </w:r>
      <w:r w:rsidRPr="008F07F2">
        <w:rPr>
          <w:rFonts w:ascii="Times New Roman" w:hAnsi="Times New Roman" w:cs="Times New Roman"/>
        </w:rPr>
        <w:instrText xml:space="preserve"> TA \l "Vermont Water Quality Standards § 1-03(C)(1)" \s "1-03(C)(1)" \c 6 </w:instrText>
      </w:r>
      <w:r w:rsidRPr="008F07F2">
        <w:rPr>
          <w:rFonts w:ascii="Times New Roman" w:hAnsi="Times New Roman" w:cs="Times New Roman"/>
        </w:rPr>
        <w:fldChar w:fldCharType="end"/>
      </w:r>
      <w:r w:rsidRPr="008F07F2">
        <w:rPr>
          <w:rFonts w:ascii="Times New Roman" w:hAnsi="Times New Roman" w:cs="Times New Roman"/>
        </w:rPr>
        <w:t>.  This is consistent with federal law and EPA guidance.  The EPA has stated that “[n]o activity is allowable under the antidegradation policy which would partially or completely eliminate any existing use whether or not that use is designated in a State’s water quality standards.” EPA Water Quality Standards Handbook (2012)</w:t>
      </w:r>
      <w:r w:rsidRPr="008F07F2">
        <w:rPr>
          <w:rFonts w:ascii="Times New Roman" w:hAnsi="Times New Roman" w:cs="Times New Roman"/>
        </w:rPr>
        <w:fldChar w:fldCharType="begin"/>
      </w:r>
      <w:r w:rsidRPr="008F07F2">
        <w:rPr>
          <w:rFonts w:ascii="Times New Roman" w:hAnsi="Times New Roman" w:cs="Times New Roman"/>
        </w:rPr>
        <w:instrText xml:space="preserve"> TA \l "EPA Water Quality Standards Handbook (2012)" \s "Handbook" \c 3 </w:instrText>
      </w:r>
      <w:r w:rsidRPr="008F07F2">
        <w:rPr>
          <w:rFonts w:ascii="Times New Roman" w:hAnsi="Times New Roman" w:cs="Times New Roman"/>
        </w:rPr>
        <w:fldChar w:fldCharType="end"/>
      </w:r>
      <w:r w:rsidRPr="008F07F2">
        <w:rPr>
          <w:rFonts w:ascii="Times New Roman" w:hAnsi="Times New Roman" w:cs="Times New Roman"/>
        </w:rPr>
        <w:t xml:space="preserve">; see also </w:t>
      </w:r>
      <w:r w:rsidRPr="008F07F2">
        <w:rPr>
          <w:rFonts w:ascii="Times New Roman" w:hAnsi="Times New Roman" w:cs="Times New Roman"/>
          <w:i/>
        </w:rPr>
        <w:t xml:space="preserve">PUD No. 1 of Jefferson </w:t>
      </w:r>
      <w:proofErr w:type="spellStart"/>
      <w:r w:rsidRPr="008F07F2">
        <w:rPr>
          <w:rFonts w:ascii="Times New Roman" w:hAnsi="Times New Roman" w:cs="Times New Roman"/>
          <w:i/>
        </w:rPr>
        <w:t>Cty</w:t>
      </w:r>
      <w:proofErr w:type="spellEnd"/>
      <w:r w:rsidRPr="008F07F2">
        <w:rPr>
          <w:rFonts w:ascii="Times New Roman" w:hAnsi="Times New Roman" w:cs="Times New Roman"/>
          <w:i/>
        </w:rPr>
        <w:t>. v. Washington Dep’t of Ecology</w:t>
      </w:r>
      <w:r w:rsidRPr="008F07F2">
        <w:rPr>
          <w:rFonts w:ascii="Times New Roman" w:hAnsi="Times New Roman" w:cs="Times New Roman"/>
        </w:rPr>
        <w:t>, 511 U.S. 700, 719 (1994)</w:t>
      </w:r>
      <w:r w:rsidRPr="008F07F2">
        <w:rPr>
          <w:rFonts w:ascii="Times New Roman" w:hAnsi="Times New Roman" w:cs="Times New Roman"/>
        </w:rPr>
        <w:fldChar w:fldCharType="begin"/>
      </w:r>
      <w:r w:rsidRPr="008F07F2">
        <w:rPr>
          <w:rFonts w:ascii="Times New Roman" w:hAnsi="Times New Roman" w:cs="Times New Roman"/>
        </w:rPr>
        <w:instrText xml:space="preserve"> TA \l "</w:instrText>
      </w:r>
      <w:r w:rsidRPr="008F07F2">
        <w:rPr>
          <w:rFonts w:ascii="Times New Roman" w:hAnsi="Times New Roman" w:cs="Times New Roman"/>
          <w:i/>
        </w:rPr>
        <w:instrText>PUD No. 1 of Jefferson Cty. v. Washington Dep’t of Ecology</w:instrText>
      </w:r>
      <w:r w:rsidRPr="008F07F2">
        <w:rPr>
          <w:rFonts w:ascii="Times New Roman" w:hAnsi="Times New Roman" w:cs="Times New Roman"/>
        </w:rPr>
        <w:instrText xml:space="preserve">, 511 U.S. 700 (1994)" \s "PUD" \c 1 </w:instrText>
      </w:r>
      <w:r w:rsidRPr="008F07F2">
        <w:rPr>
          <w:rFonts w:ascii="Times New Roman" w:hAnsi="Times New Roman" w:cs="Times New Roman"/>
        </w:rPr>
        <w:fldChar w:fldCharType="end"/>
      </w:r>
      <w:r w:rsidRPr="008F07F2">
        <w:rPr>
          <w:rFonts w:ascii="Times New Roman" w:hAnsi="Times New Roman" w:cs="Times New Roman"/>
        </w:rPr>
        <w:t xml:space="preserve"> (quoting earlier iteration of similar EPA guidelines).  </w:t>
      </w:r>
    </w:p>
    <w:p w14:paraId="4C87E400" w14:textId="24193264" w:rsidR="000B5427" w:rsidRPr="008F07F2" w:rsidRDefault="000B5427" w:rsidP="00612549">
      <w:pPr>
        <w:rPr>
          <w:rFonts w:ascii="Times New Roman" w:hAnsi="Times New Roman" w:cs="Times New Roman"/>
        </w:rPr>
      </w:pPr>
      <w:r w:rsidRPr="008F07F2">
        <w:rPr>
          <w:rFonts w:ascii="Times New Roman" w:hAnsi="Times New Roman" w:cs="Times New Roman"/>
        </w:rPr>
        <w:t xml:space="preserve">In short, the CWA and VWQS require the state to protect existing uses and to develop and enforce criteria that </w:t>
      </w:r>
      <w:r w:rsidR="00966185" w:rsidRPr="008F07F2">
        <w:rPr>
          <w:rFonts w:ascii="Times New Roman" w:hAnsi="Times New Roman" w:cs="Times New Roman"/>
        </w:rPr>
        <w:t xml:space="preserve">also </w:t>
      </w:r>
      <w:r w:rsidRPr="008F07F2">
        <w:rPr>
          <w:rFonts w:ascii="Times New Roman" w:hAnsi="Times New Roman" w:cs="Times New Roman"/>
        </w:rPr>
        <w:t xml:space="preserve">protect designated uses.  </w:t>
      </w:r>
    </w:p>
    <w:p w14:paraId="1442C30C" w14:textId="2A4CF80C" w:rsidR="00FF7C1F" w:rsidRPr="008F07F2" w:rsidRDefault="00FF7C1F" w:rsidP="000B5427">
      <w:pPr>
        <w:pStyle w:val="Heading3"/>
      </w:pPr>
      <w:bookmarkStart w:id="12" w:name="_Toc535838876"/>
      <w:r w:rsidRPr="008F07F2">
        <w:t>ANR’s Proposal Would</w:t>
      </w:r>
      <w:r w:rsidR="00966185" w:rsidRPr="008F07F2">
        <w:t xml:space="preserve"> Substantially</w:t>
      </w:r>
      <w:r w:rsidRPr="008F07F2">
        <w:t xml:space="preserve"> Limit or Eliminate Whitewater Boating on the Green River</w:t>
      </w:r>
      <w:bookmarkEnd w:id="12"/>
    </w:p>
    <w:p w14:paraId="60415E2D" w14:textId="5F49AF5D" w:rsidR="00FF7C1F" w:rsidRPr="008F07F2" w:rsidRDefault="007631E1" w:rsidP="003D51EB">
      <w:pPr>
        <w:rPr>
          <w:rFonts w:ascii="Times New Roman" w:hAnsi="Times New Roman" w:cs="Times New Roman"/>
        </w:rPr>
      </w:pPr>
      <w:r w:rsidRPr="008F07F2">
        <w:rPr>
          <w:rFonts w:ascii="Times New Roman" w:hAnsi="Times New Roman" w:cs="Times New Roman"/>
        </w:rPr>
        <w:t>As set out above, conditions necessary to support whitewater boating on the Green Rive</w:t>
      </w:r>
      <w:r w:rsidR="00F8656A" w:rsidRPr="008F07F2">
        <w:rPr>
          <w:rFonts w:ascii="Times New Roman" w:hAnsi="Times New Roman" w:cs="Times New Roman"/>
        </w:rPr>
        <w:t>r include certain rates of flow</w:t>
      </w:r>
      <w:r w:rsidRPr="008F07F2">
        <w:rPr>
          <w:rFonts w:ascii="Times New Roman" w:hAnsi="Times New Roman" w:cs="Times New Roman"/>
        </w:rPr>
        <w:t xml:space="preserve"> and some predictability in the form of scheduled releases.  PC 16, 55–56.  </w:t>
      </w:r>
      <w:r w:rsidR="00FF7C1F" w:rsidRPr="008F07F2">
        <w:rPr>
          <w:rFonts w:ascii="Times New Roman" w:hAnsi="Times New Roman" w:cs="Times New Roman"/>
        </w:rPr>
        <w:t xml:space="preserve">The </w:t>
      </w:r>
      <w:r w:rsidR="00966185" w:rsidRPr="008F07F2">
        <w:rPr>
          <w:rFonts w:ascii="Times New Roman" w:hAnsi="Times New Roman" w:cs="Times New Roman"/>
        </w:rPr>
        <w:t xml:space="preserve">ANR </w:t>
      </w:r>
      <w:r w:rsidR="00FF7C1F" w:rsidRPr="008F07F2">
        <w:rPr>
          <w:rFonts w:ascii="Times New Roman" w:hAnsi="Times New Roman" w:cs="Times New Roman"/>
        </w:rPr>
        <w:t>WQC</w:t>
      </w:r>
      <w:r w:rsidR="00966185" w:rsidRPr="008F07F2">
        <w:rPr>
          <w:rFonts w:ascii="Times New Roman" w:hAnsi="Times New Roman" w:cs="Times New Roman"/>
        </w:rPr>
        <w:t xml:space="preserve"> failed</w:t>
      </w:r>
      <w:r w:rsidR="00FF7C1F" w:rsidRPr="008F07F2">
        <w:rPr>
          <w:rFonts w:ascii="Times New Roman" w:hAnsi="Times New Roman" w:cs="Times New Roman"/>
        </w:rPr>
        <w:t xml:space="preserve"> to </w:t>
      </w:r>
      <w:r w:rsidRPr="008F07F2">
        <w:rPr>
          <w:rFonts w:ascii="Times New Roman" w:hAnsi="Times New Roman" w:cs="Times New Roman"/>
        </w:rPr>
        <w:t>provide</w:t>
      </w:r>
      <w:r w:rsidR="00FF7C1F" w:rsidRPr="008F07F2">
        <w:rPr>
          <w:rFonts w:ascii="Times New Roman" w:hAnsi="Times New Roman" w:cs="Times New Roman"/>
        </w:rPr>
        <w:t xml:space="preserve"> </w:t>
      </w:r>
      <w:r w:rsidRPr="008F07F2">
        <w:rPr>
          <w:rFonts w:ascii="Times New Roman" w:hAnsi="Times New Roman" w:cs="Times New Roman"/>
        </w:rPr>
        <w:t>those conditions</w:t>
      </w:r>
      <w:r w:rsidR="00FF7C1F" w:rsidRPr="008F07F2">
        <w:rPr>
          <w:rFonts w:ascii="Times New Roman" w:hAnsi="Times New Roman" w:cs="Times New Roman"/>
        </w:rPr>
        <w:t xml:space="preserve"> in two key ways.  First, it </w:t>
      </w:r>
      <w:r w:rsidR="00F8656A" w:rsidRPr="008F07F2">
        <w:rPr>
          <w:rFonts w:ascii="Times New Roman" w:hAnsi="Times New Roman" w:cs="Times New Roman"/>
        </w:rPr>
        <w:t>eliminate</w:t>
      </w:r>
      <w:r w:rsidR="00966185" w:rsidRPr="008F07F2">
        <w:rPr>
          <w:rFonts w:ascii="Times New Roman" w:hAnsi="Times New Roman" w:cs="Times New Roman"/>
        </w:rPr>
        <w:t>d</w:t>
      </w:r>
      <w:r w:rsidR="00F8656A" w:rsidRPr="008F07F2">
        <w:rPr>
          <w:rFonts w:ascii="Times New Roman" w:hAnsi="Times New Roman" w:cs="Times New Roman"/>
        </w:rPr>
        <w:t xml:space="preserve"> predictability by prohibiting</w:t>
      </w:r>
      <w:r w:rsidR="00FF7C1F" w:rsidRPr="008F07F2">
        <w:rPr>
          <w:rFonts w:ascii="Times New Roman" w:hAnsi="Times New Roman" w:cs="Times New Roman"/>
        </w:rPr>
        <w:t xml:space="preserve"> MWL from scheduling generation releases at </w:t>
      </w:r>
      <w:proofErr w:type="spellStart"/>
      <w:r w:rsidR="00FF7C1F" w:rsidRPr="008F07F2">
        <w:rPr>
          <w:rFonts w:ascii="Times New Roman" w:hAnsi="Times New Roman" w:cs="Times New Roman"/>
        </w:rPr>
        <w:t>boatable</w:t>
      </w:r>
      <w:proofErr w:type="spellEnd"/>
      <w:r w:rsidR="00FF7C1F" w:rsidRPr="008F07F2">
        <w:rPr>
          <w:rFonts w:ascii="Times New Roman" w:hAnsi="Times New Roman" w:cs="Times New Roman"/>
        </w:rPr>
        <w:t xml:space="preserve"> flows.  PC at </w:t>
      </w:r>
      <w:r w:rsidR="00FF7C1F" w:rsidRPr="008F07F2">
        <w:rPr>
          <w:rFonts w:ascii="Times New Roman" w:hAnsi="Times New Roman" w:cs="Times New Roman"/>
        </w:rPr>
        <w:lastRenderedPageBreak/>
        <w:t>55-58, 152–56.  Second,</w:t>
      </w:r>
      <w:r w:rsidR="00F8656A" w:rsidRPr="008F07F2">
        <w:rPr>
          <w:rFonts w:ascii="Times New Roman" w:hAnsi="Times New Roman" w:cs="Times New Roman"/>
        </w:rPr>
        <w:t xml:space="preserve"> it require</w:t>
      </w:r>
      <w:r w:rsidR="00966185" w:rsidRPr="008F07F2">
        <w:rPr>
          <w:rFonts w:ascii="Times New Roman" w:hAnsi="Times New Roman" w:cs="Times New Roman"/>
        </w:rPr>
        <w:t>d</w:t>
      </w:r>
      <w:r w:rsidR="00FF7C1F" w:rsidRPr="008F07F2">
        <w:rPr>
          <w:rFonts w:ascii="Times New Roman" w:hAnsi="Times New Roman" w:cs="Times New Roman"/>
        </w:rPr>
        <w:t xml:space="preserve"> MWL to store natural inflows in a way that will limit natural high flow events.  </w:t>
      </w:r>
      <w:r w:rsidR="00FF7C1F" w:rsidRPr="008F07F2">
        <w:rPr>
          <w:rFonts w:ascii="Times New Roman" w:hAnsi="Times New Roman" w:cs="Times New Roman"/>
          <w:i/>
        </w:rPr>
        <w:t>Id</w:t>
      </w:r>
      <w:r w:rsidR="00FF7C1F" w:rsidRPr="008F07F2">
        <w:rPr>
          <w:rFonts w:ascii="Times New Roman" w:hAnsi="Times New Roman" w:cs="Times New Roman"/>
        </w:rPr>
        <w:t xml:space="preserve">. </w:t>
      </w:r>
    </w:p>
    <w:p w14:paraId="46C6D4BD" w14:textId="77777777" w:rsidR="00FF7C1F" w:rsidRPr="008F07F2" w:rsidRDefault="00DD4872" w:rsidP="000B5427">
      <w:pPr>
        <w:pStyle w:val="Heading4"/>
      </w:pPr>
      <w:r w:rsidRPr="008F07F2">
        <w:t xml:space="preserve">ANR’s Proposal Would Eliminate Scheduled Releases. </w:t>
      </w:r>
      <w:r w:rsidR="00FF7C1F" w:rsidRPr="008F07F2">
        <w:t xml:space="preserve"> </w:t>
      </w:r>
      <w:r w:rsidR="00FF7C1F" w:rsidRPr="008F07F2">
        <w:tab/>
      </w:r>
    </w:p>
    <w:p w14:paraId="54DC422E" w14:textId="56FEAD56" w:rsidR="00FF7C1F" w:rsidRPr="008F07F2" w:rsidRDefault="00FF7C1F" w:rsidP="003D51EB">
      <w:pPr>
        <w:rPr>
          <w:rFonts w:ascii="Times New Roman" w:hAnsi="Times New Roman" w:cs="Times New Roman"/>
        </w:rPr>
      </w:pPr>
      <w:r w:rsidRPr="008F07F2">
        <w:rPr>
          <w:rFonts w:ascii="Times New Roman" w:hAnsi="Times New Roman" w:cs="Times New Roman"/>
        </w:rPr>
        <w:t xml:space="preserve">Natural high-flow events on the Green River are unpredictable and therefore difficult for boaters to use.  PC at 16, 55-58; Tr. (04.04.2018) at 152, 155, (04.04.2018) at 22–27, 40–44.  Because of this unpredictability, most of the meaningful whitewater events on the Green River occur as a result of periodic, scheduled generation releases done by MWL at the request of the American Whitewater/Vermont Paddler’s Club (AW/VPC).  </w:t>
      </w:r>
      <w:r w:rsidRPr="008F07F2">
        <w:rPr>
          <w:rFonts w:ascii="Times New Roman" w:hAnsi="Times New Roman" w:cs="Times New Roman"/>
          <w:i/>
        </w:rPr>
        <w:t>Id</w:t>
      </w:r>
      <w:r w:rsidRPr="008F07F2">
        <w:rPr>
          <w:rFonts w:ascii="Times New Roman" w:hAnsi="Times New Roman" w:cs="Times New Roman"/>
        </w:rPr>
        <w:t>.;</w:t>
      </w:r>
      <w:r w:rsidR="00380326">
        <w:rPr>
          <w:rFonts w:ascii="Times New Roman" w:hAnsi="Times New Roman" w:cs="Times New Roman"/>
        </w:rPr>
        <w:t xml:space="preserve"> SPC at </w:t>
      </w:r>
      <w:r w:rsidR="00022954">
        <w:rPr>
          <w:rFonts w:ascii="Times New Roman" w:hAnsi="Times New Roman" w:cs="Times New Roman"/>
        </w:rPr>
        <w:t>17</w:t>
      </w:r>
      <w:r w:rsidR="00971EDA">
        <w:rPr>
          <w:rFonts w:ascii="Times New Roman" w:hAnsi="Times New Roman" w:cs="Times New Roman"/>
        </w:rPr>
        <w:t>;</w:t>
      </w:r>
      <w:r w:rsidRPr="008F07F2">
        <w:rPr>
          <w:rFonts w:ascii="Times New Roman" w:hAnsi="Times New Roman" w:cs="Times New Roman"/>
        </w:rPr>
        <w:t xml:space="preserve"> Tr. (04.03.2018) at 76; (04.04.2018) at 156–57, 161–62, 168; (04.05.2018) at 22–27, 40–44.  Under its current FERC license, MWL stores inflows for later generation to take advantage of peak energy prices or to meet other operational needs subject to certain limits on reservoir fluctuation.  </w:t>
      </w:r>
      <w:r w:rsidRPr="008F07F2">
        <w:rPr>
          <w:rFonts w:ascii="Times New Roman" w:hAnsi="Times New Roman" w:cs="Times New Roman"/>
          <w:i/>
        </w:rPr>
        <w:t>Id</w:t>
      </w:r>
      <w:r w:rsidRPr="008F07F2">
        <w:rPr>
          <w:rFonts w:ascii="Times New Roman" w:hAnsi="Times New Roman" w:cs="Times New Roman"/>
        </w:rPr>
        <w:t>.; Tr. (04.02.2018) at 38–39, 172–73.  MWL periodically provides advance notification to whitewater boating groups and schedules generation on certain weekend days to provide whitewater boaters with an opportunity to paddle on the Green River.  PC 16, 55, 57; Tr. (04.04.2018) at 168.</w:t>
      </w:r>
    </w:p>
    <w:p w14:paraId="20E3D1A7" w14:textId="04FDF2BB" w:rsidR="00FF7C1F" w:rsidRPr="008F07F2" w:rsidRDefault="00FF7C1F" w:rsidP="003D51EB">
      <w:pPr>
        <w:rPr>
          <w:rFonts w:ascii="Times New Roman" w:hAnsi="Times New Roman" w:cs="Times New Roman"/>
        </w:rPr>
      </w:pPr>
      <w:r w:rsidRPr="008F07F2">
        <w:rPr>
          <w:rFonts w:ascii="Times New Roman" w:hAnsi="Times New Roman" w:cs="Times New Roman"/>
        </w:rPr>
        <w:t xml:space="preserve">As found in the Whitewater Boating Study, the Green River’s ability to provide whitewater boating opportunities would be severely impaired, or even eliminated, without these predictable releases.   </w:t>
      </w:r>
      <w:r w:rsidR="00380326">
        <w:rPr>
          <w:rFonts w:ascii="Times New Roman" w:hAnsi="Times New Roman" w:cs="Times New Roman"/>
        </w:rPr>
        <w:t xml:space="preserve">SPC at </w:t>
      </w:r>
      <w:r w:rsidR="00022954">
        <w:rPr>
          <w:rFonts w:ascii="Times New Roman" w:hAnsi="Times New Roman" w:cs="Times New Roman"/>
        </w:rPr>
        <w:t>18</w:t>
      </w:r>
      <w:r w:rsidR="00971EDA">
        <w:rPr>
          <w:rFonts w:ascii="Times New Roman" w:hAnsi="Times New Roman" w:cs="Times New Roman"/>
        </w:rPr>
        <w:t xml:space="preserve">; </w:t>
      </w:r>
      <w:r w:rsidRPr="008F07F2">
        <w:rPr>
          <w:rFonts w:ascii="Times New Roman" w:hAnsi="Times New Roman" w:cs="Times New Roman"/>
        </w:rPr>
        <w:t xml:space="preserve">Tr. (04.03.2018) at 76–78; Tr. (04.04.2018) at 158; (04.05.2018) at 26–27.  </w:t>
      </w:r>
    </w:p>
    <w:p w14:paraId="518EDFD4" w14:textId="14243B98" w:rsidR="00C40408" w:rsidRPr="008F07F2" w:rsidRDefault="00FF7C1F" w:rsidP="00C40408">
      <w:pPr>
        <w:rPr>
          <w:rFonts w:ascii="Times New Roman" w:hAnsi="Times New Roman" w:cs="Times New Roman"/>
          <w:lang w:val="en-US"/>
        </w:rPr>
      </w:pPr>
      <w:r w:rsidRPr="008F07F2">
        <w:rPr>
          <w:rFonts w:ascii="Times New Roman" w:hAnsi="Times New Roman" w:cs="Times New Roman"/>
        </w:rPr>
        <w:t xml:space="preserve">Nevertheless, the </w:t>
      </w:r>
      <w:r w:rsidR="009A7098" w:rsidRPr="008F07F2">
        <w:rPr>
          <w:rFonts w:ascii="Times New Roman" w:hAnsi="Times New Roman" w:cs="Times New Roman"/>
        </w:rPr>
        <w:t xml:space="preserve">proposed ANR </w:t>
      </w:r>
      <w:r w:rsidRPr="008F07F2">
        <w:rPr>
          <w:rFonts w:ascii="Times New Roman" w:hAnsi="Times New Roman" w:cs="Times New Roman"/>
        </w:rPr>
        <w:t xml:space="preserve">WQC as written would eliminate timed </w:t>
      </w:r>
      <w:proofErr w:type="spellStart"/>
      <w:r w:rsidR="00342A4A" w:rsidRPr="008F07F2">
        <w:rPr>
          <w:rFonts w:ascii="Times New Roman" w:hAnsi="Times New Roman" w:cs="Times New Roman"/>
        </w:rPr>
        <w:t>boatable</w:t>
      </w:r>
      <w:proofErr w:type="spellEnd"/>
      <w:r w:rsidR="00342A4A" w:rsidRPr="008F07F2">
        <w:rPr>
          <w:rFonts w:ascii="Times New Roman" w:hAnsi="Times New Roman" w:cs="Times New Roman"/>
        </w:rPr>
        <w:t xml:space="preserve"> </w:t>
      </w:r>
      <w:r w:rsidRPr="008F07F2">
        <w:rPr>
          <w:rFonts w:ascii="Times New Roman" w:hAnsi="Times New Roman" w:cs="Times New Roman"/>
        </w:rPr>
        <w:t xml:space="preserve">releases </w:t>
      </w:r>
      <w:r w:rsidR="002741A2" w:rsidRPr="008F07F2">
        <w:rPr>
          <w:rFonts w:ascii="Times New Roman" w:hAnsi="Times New Roman" w:cs="Times New Roman"/>
        </w:rPr>
        <w:t>at any time of the year</w:t>
      </w:r>
      <w:r w:rsidRPr="008F07F2">
        <w:rPr>
          <w:rFonts w:ascii="Times New Roman" w:hAnsi="Times New Roman" w:cs="Times New Roman"/>
        </w:rPr>
        <w:t xml:space="preserve">.  PC. at 152–56; Tr. (04.04.2018) at 154–55. </w:t>
      </w:r>
      <w:r w:rsidR="00342A4A" w:rsidRPr="008F07F2">
        <w:rPr>
          <w:rFonts w:ascii="Times New Roman" w:hAnsi="Times New Roman" w:cs="Times New Roman"/>
        </w:rPr>
        <w:t xml:space="preserve">While store-and-release would be allowed in the winter, </w:t>
      </w:r>
      <w:r w:rsidR="00C40408" w:rsidRPr="008F07F2">
        <w:rPr>
          <w:rFonts w:ascii="Times New Roman" w:hAnsi="Times New Roman" w:cs="Times New Roman"/>
        </w:rPr>
        <w:t xml:space="preserve">from December 16 to March 31, </w:t>
      </w:r>
      <w:r w:rsidR="00C40408" w:rsidRPr="008F07F2">
        <w:rPr>
          <w:rFonts w:ascii="Times New Roman" w:hAnsi="Times New Roman" w:cs="Times New Roman"/>
          <w:lang w:val="en-US"/>
        </w:rPr>
        <w:t xml:space="preserve">maximum generation flow </w:t>
      </w:r>
      <w:r w:rsidR="00380326">
        <w:rPr>
          <w:rFonts w:ascii="Times New Roman" w:hAnsi="Times New Roman" w:cs="Times New Roman"/>
          <w:lang w:val="en-US"/>
        </w:rPr>
        <w:t xml:space="preserve">in winter </w:t>
      </w:r>
      <w:r w:rsidR="00C40408" w:rsidRPr="008F07F2">
        <w:rPr>
          <w:rFonts w:ascii="Times New Roman" w:hAnsi="Times New Roman" w:cs="Times New Roman"/>
          <w:lang w:val="en-US"/>
        </w:rPr>
        <w:t xml:space="preserve">is 110 </w:t>
      </w:r>
      <w:proofErr w:type="spellStart"/>
      <w:r w:rsidR="00C40408" w:rsidRPr="008F07F2">
        <w:rPr>
          <w:rFonts w:ascii="Times New Roman" w:hAnsi="Times New Roman" w:cs="Times New Roman"/>
          <w:lang w:val="en-US"/>
        </w:rPr>
        <w:t>cfs</w:t>
      </w:r>
      <w:proofErr w:type="spellEnd"/>
      <w:r w:rsidR="00C40408" w:rsidRPr="008F07F2">
        <w:rPr>
          <w:rFonts w:ascii="Times New Roman" w:hAnsi="Times New Roman" w:cs="Times New Roman"/>
          <w:lang w:val="en-US"/>
        </w:rPr>
        <w:t xml:space="preserve"> or inflow if inflow exceeds 110 </w:t>
      </w:r>
      <w:proofErr w:type="spellStart"/>
      <w:r w:rsidR="00C40408" w:rsidRPr="008F07F2">
        <w:rPr>
          <w:rFonts w:ascii="Times New Roman" w:hAnsi="Times New Roman" w:cs="Times New Roman"/>
          <w:lang w:val="en-US"/>
        </w:rPr>
        <w:t>cfs</w:t>
      </w:r>
      <w:proofErr w:type="spellEnd"/>
      <w:r w:rsidR="00C40408" w:rsidRPr="008F07F2">
        <w:rPr>
          <w:rFonts w:ascii="Times New Roman" w:hAnsi="Times New Roman" w:cs="Times New Roman"/>
          <w:lang w:val="en-US"/>
        </w:rPr>
        <w:t xml:space="preserve">.  PC at 54.  Even if during this time MWL decides to store inflows and release them later, that later release would be capped at 110 </w:t>
      </w:r>
      <w:proofErr w:type="spellStart"/>
      <w:r w:rsidR="00C40408" w:rsidRPr="008F07F2">
        <w:rPr>
          <w:rFonts w:ascii="Times New Roman" w:hAnsi="Times New Roman" w:cs="Times New Roman"/>
          <w:lang w:val="en-US"/>
        </w:rPr>
        <w:t>cfs</w:t>
      </w:r>
      <w:proofErr w:type="spellEnd"/>
      <w:r w:rsidR="00C40408" w:rsidRPr="008F07F2">
        <w:rPr>
          <w:rFonts w:ascii="Times New Roman" w:hAnsi="Times New Roman" w:cs="Times New Roman"/>
          <w:lang w:val="en-US"/>
        </w:rPr>
        <w:t xml:space="preserve"> unless the natural inflow at the time of the release is greater.  PC at 54, 57.  In addition, MWL may decide not to make such releases because of the more limited 18-inch fluctuation allowed under the 2016 WQC </w:t>
      </w:r>
      <w:r w:rsidR="00C40408" w:rsidRPr="008F07F2">
        <w:rPr>
          <w:rFonts w:ascii="Times New Roman" w:hAnsi="Times New Roman" w:cs="Times New Roman"/>
          <w:lang w:val="en-US"/>
        </w:rPr>
        <w:lastRenderedPageBreak/>
        <w:t xml:space="preserve">(compared to the 10-foot fluctuation currently allowed).  PC at 57.  Consistent with the findings of the Environmental Division, the elimination of scheduled releases would significantly reduce whitewater boating opportunities.  PC at </w:t>
      </w:r>
      <w:r w:rsidR="00B22EF9" w:rsidRPr="008F07F2">
        <w:rPr>
          <w:rFonts w:ascii="Times New Roman" w:hAnsi="Times New Roman" w:cs="Times New Roman"/>
          <w:lang w:val="en-US"/>
        </w:rPr>
        <w:t xml:space="preserve">16, 55, 57–58. </w:t>
      </w:r>
    </w:p>
    <w:p w14:paraId="08381DF5" w14:textId="77777777" w:rsidR="00FF7C1F" w:rsidRPr="008F07F2" w:rsidRDefault="00FF7C1F" w:rsidP="000B5427">
      <w:pPr>
        <w:pStyle w:val="Heading4"/>
      </w:pPr>
      <w:r w:rsidRPr="008F07F2">
        <w:t xml:space="preserve">Store and Release </w:t>
      </w:r>
      <w:r w:rsidR="00DD4872" w:rsidRPr="008F07F2">
        <w:t>R</w:t>
      </w:r>
      <w:r w:rsidRPr="008F07F2">
        <w:t>equirements</w:t>
      </w:r>
      <w:r w:rsidR="00DD4872" w:rsidRPr="008F07F2">
        <w:t xml:space="preserve"> Would Reduce the Frequency of Naturally-Occurring High-Flow Events. </w:t>
      </w:r>
    </w:p>
    <w:p w14:paraId="6BE1F247" w14:textId="74F58517" w:rsidR="00FF7C1F" w:rsidRPr="008F07F2" w:rsidRDefault="00FF7C1F" w:rsidP="003D51EB">
      <w:pPr>
        <w:rPr>
          <w:rFonts w:ascii="Times New Roman" w:hAnsi="Times New Roman" w:cs="Times New Roman"/>
        </w:rPr>
      </w:pPr>
      <w:r w:rsidRPr="008F07F2">
        <w:rPr>
          <w:rFonts w:ascii="Times New Roman" w:hAnsi="Times New Roman" w:cs="Times New Roman"/>
        </w:rPr>
        <w:t xml:space="preserve">Under the current FERC license, MWL operates the Green River facility as a store-and-release facility with an allowable </w:t>
      </w:r>
      <w:r w:rsidR="00C40408" w:rsidRPr="008F07F2">
        <w:rPr>
          <w:rFonts w:ascii="Times New Roman" w:hAnsi="Times New Roman" w:cs="Times New Roman"/>
        </w:rPr>
        <w:t xml:space="preserve">winter </w:t>
      </w:r>
      <w:r w:rsidRPr="008F07F2">
        <w:rPr>
          <w:rFonts w:ascii="Times New Roman" w:hAnsi="Times New Roman" w:cs="Times New Roman"/>
        </w:rPr>
        <w:t>drawdown of the Green River Reservoir of up to 10 feet</w:t>
      </w:r>
      <w:r w:rsidR="00C40408" w:rsidRPr="008F07F2">
        <w:rPr>
          <w:rFonts w:ascii="Times New Roman" w:hAnsi="Times New Roman" w:cs="Times New Roman"/>
        </w:rPr>
        <w:t xml:space="preserve"> (</w:t>
      </w:r>
      <w:proofErr w:type="gramStart"/>
      <w:r w:rsidR="00C40408" w:rsidRPr="008F07F2">
        <w:rPr>
          <w:rFonts w:ascii="Times New Roman" w:hAnsi="Times New Roman" w:cs="Times New Roman"/>
        </w:rPr>
        <w:t>actually averaging</w:t>
      </w:r>
      <w:proofErr w:type="gramEnd"/>
      <w:r w:rsidR="00C40408" w:rsidRPr="008F07F2">
        <w:rPr>
          <w:rFonts w:ascii="Times New Roman" w:hAnsi="Times New Roman" w:cs="Times New Roman"/>
        </w:rPr>
        <w:t xml:space="preserve"> 3.7 feet)</w:t>
      </w:r>
      <w:r w:rsidRPr="008F07F2">
        <w:rPr>
          <w:rFonts w:ascii="Times New Roman" w:hAnsi="Times New Roman" w:cs="Times New Roman"/>
        </w:rPr>
        <w:t xml:space="preserve"> and a minimum conservation flow </w:t>
      </w:r>
      <w:r w:rsidR="0071494D" w:rsidRPr="008F07F2">
        <w:rPr>
          <w:rFonts w:ascii="Times New Roman" w:hAnsi="Times New Roman" w:cs="Times New Roman"/>
        </w:rPr>
        <w:t>downstream</w:t>
      </w:r>
      <w:r w:rsidRPr="008F07F2">
        <w:rPr>
          <w:rFonts w:ascii="Times New Roman" w:hAnsi="Times New Roman" w:cs="Times New Roman"/>
        </w:rPr>
        <w:t xml:space="preserve"> of 5.5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PC at 12; Tr. (04.02.2018) at 205. </w:t>
      </w:r>
    </w:p>
    <w:p w14:paraId="5618896C" w14:textId="264EF76F" w:rsidR="00FF7C1F" w:rsidRPr="008F07F2" w:rsidRDefault="00FF7C1F" w:rsidP="0071494D">
      <w:pPr>
        <w:rPr>
          <w:rFonts w:ascii="Times New Roman" w:hAnsi="Times New Roman" w:cs="Times New Roman"/>
        </w:rPr>
      </w:pPr>
      <w:r w:rsidRPr="008F07F2">
        <w:rPr>
          <w:rFonts w:ascii="Times New Roman" w:hAnsi="Times New Roman" w:cs="Times New Roman"/>
        </w:rPr>
        <w:t xml:space="preserve">The </w:t>
      </w:r>
      <w:r w:rsidR="009A7098" w:rsidRPr="008F07F2">
        <w:rPr>
          <w:rFonts w:ascii="Times New Roman" w:hAnsi="Times New Roman" w:cs="Times New Roman"/>
        </w:rPr>
        <w:t xml:space="preserve">ANR proposed </w:t>
      </w:r>
      <w:r w:rsidRPr="008F07F2">
        <w:rPr>
          <w:rFonts w:ascii="Times New Roman" w:hAnsi="Times New Roman" w:cs="Times New Roman"/>
        </w:rPr>
        <w:t xml:space="preserve">WQC requires MWL to store inflows above minimum conservation flows (i.e. above 60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for reservoir refill beginning April 1 each year.  PC at </w:t>
      </w:r>
      <w:r w:rsidR="00894402" w:rsidRPr="008F07F2">
        <w:rPr>
          <w:rFonts w:ascii="Times New Roman" w:hAnsi="Times New Roman" w:cs="Times New Roman"/>
        </w:rPr>
        <w:t xml:space="preserve">57, </w:t>
      </w:r>
      <w:r w:rsidRPr="008F07F2">
        <w:rPr>
          <w:rFonts w:ascii="Times New Roman" w:hAnsi="Times New Roman" w:cs="Times New Roman"/>
        </w:rPr>
        <w:t xml:space="preserve">152; Tr. (04.09.2018) at 130, 152.  </w:t>
      </w:r>
      <w:r w:rsidR="00894402" w:rsidRPr="008F07F2">
        <w:rPr>
          <w:rFonts w:ascii="Times New Roman" w:hAnsi="Times New Roman" w:cs="Times New Roman"/>
        </w:rPr>
        <w:t xml:space="preserve"> In that period the WQC also requires the release of minimum flows that exceed natural inflows, resulting in the storage of higher flows for reservoir refill.  </w:t>
      </w:r>
      <w:r w:rsidR="00894402" w:rsidRPr="008F07F2">
        <w:rPr>
          <w:rFonts w:ascii="Times New Roman" w:hAnsi="Times New Roman" w:cs="Times New Roman"/>
          <w:i/>
        </w:rPr>
        <w:t>Id</w:t>
      </w:r>
      <w:r w:rsidR="00894402" w:rsidRPr="008F07F2">
        <w:rPr>
          <w:rFonts w:ascii="Times New Roman" w:hAnsi="Times New Roman" w:cs="Times New Roman"/>
        </w:rPr>
        <w:t xml:space="preserve">.  </w:t>
      </w:r>
      <w:r w:rsidRPr="008F07F2">
        <w:rPr>
          <w:rFonts w:ascii="Times New Roman" w:hAnsi="Times New Roman" w:cs="Times New Roman"/>
        </w:rPr>
        <w:t>According to ANR testimony, reservoir refill would typically require between 10-13 days.  Tr. (04.09.2018) at 130.</w:t>
      </w:r>
      <w:r w:rsidR="00380326">
        <w:rPr>
          <w:rFonts w:ascii="Times New Roman" w:hAnsi="Times New Roman" w:cs="Times New Roman"/>
        </w:rPr>
        <w:t xml:space="preserve"> </w:t>
      </w:r>
      <w:r w:rsidRPr="008F07F2">
        <w:rPr>
          <w:rFonts w:ascii="Times New Roman" w:hAnsi="Times New Roman" w:cs="Times New Roman"/>
        </w:rPr>
        <w:t xml:space="preserve"> Based on historical USGS data, this requirement would typically result in three days in April annually when mean daily flows of 140 </w:t>
      </w:r>
      <w:proofErr w:type="spellStart"/>
      <w:r w:rsidRPr="008F07F2">
        <w:rPr>
          <w:rFonts w:ascii="Times New Roman" w:hAnsi="Times New Roman" w:cs="Times New Roman"/>
        </w:rPr>
        <w:t>cfs</w:t>
      </w:r>
      <w:proofErr w:type="spellEnd"/>
      <w:r w:rsidRPr="008F07F2">
        <w:rPr>
          <w:rFonts w:ascii="Times New Roman" w:hAnsi="Times New Roman" w:cs="Times New Roman"/>
        </w:rPr>
        <w:t xml:space="preserve"> or greater would be stored for reservoir refill, instead of being released as </w:t>
      </w:r>
      <w:proofErr w:type="spellStart"/>
      <w:r w:rsidRPr="008F07F2">
        <w:rPr>
          <w:rFonts w:ascii="Times New Roman" w:hAnsi="Times New Roman" w:cs="Times New Roman"/>
        </w:rPr>
        <w:t>boatable</w:t>
      </w:r>
      <w:proofErr w:type="spellEnd"/>
      <w:r w:rsidRPr="008F07F2">
        <w:rPr>
          <w:rFonts w:ascii="Times New Roman" w:hAnsi="Times New Roman" w:cs="Times New Roman"/>
        </w:rPr>
        <w:t xml:space="preserve"> flows.  According to credible testimony by AW and ANR, storing project inflows for reservoir refill is likely to result in lost opportunities for whitewater boating on the Green River.  Tr. (04.04.2018) at 152–55; (04.09.2018) at 73.  </w:t>
      </w:r>
    </w:p>
    <w:p w14:paraId="3570D180" w14:textId="7A7780B8" w:rsidR="00894402" w:rsidRDefault="0071494D" w:rsidP="00036509">
      <w:pPr>
        <w:rPr>
          <w:rFonts w:ascii="Times New Roman" w:hAnsi="Times New Roman" w:cs="Times New Roman"/>
        </w:rPr>
      </w:pPr>
      <w:r w:rsidRPr="008F07F2">
        <w:rPr>
          <w:rFonts w:ascii="Times New Roman" w:hAnsi="Times New Roman" w:cs="Times New Roman"/>
        </w:rPr>
        <w:t xml:space="preserve">In addition, the WQC also allows MWL to store and release natural inflows between December 15 and March 31, further diminishing the number of days when natural inflows are passed.  PC at </w:t>
      </w:r>
      <w:r w:rsidR="00894402" w:rsidRPr="008F07F2">
        <w:rPr>
          <w:rFonts w:ascii="Times New Roman" w:hAnsi="Times New Roman" w:cs="Times New Roman"/>
        </w:rPr>
        <w:t xml:space="preserve">57, 156. </w:t>
      </w:r>
      <w:r w:rsidR="00036509">
        <w:rPr>
          <w:rFonts w:ascii="Times New Roman" w:hAnsi="Times New Roman" w:cs="Times New Roman"/>
        </w:rPr>
        <w:t xml:space="preserve"> </w:t>
      </w:r>
      <w:r w:rsidR="00894402" w:rsidRPr="008F07F2">
        <w:rPr>
          <w:rFonts w:ascii="Times New Roman" w:hAnsi="Times New Roman" w:cs="Times New Roman"/>
        </w:rPr>
        <w:t>These requirements for reservoir refill and winter store and release would reduce the passage of natural flows, thereby reducing natural boating opportunities</w:t>
      </w:r>
      <w:r w:rsidR="00C40408" w:rsidRPr="008F07F2">
        <w:rPr>
          <w:rFonts w:ascii="Times New Roman" w:hAnsi="Times New Roman" w:cs="Times New Roman"/>
        </w:rPr>
        <w:t>, consistent with the findings of the Environmental Division</w:t>
      </w:r>
      <w:r w:rsidR="00894402" w:rsidRPr="008F07F2">
        <w:rPr>
          <w:rFonts w:ascii="Times New Roman" w:hAnsi="Times New Roman" w:cs="Times New Roman"/>
        </w:rPr>
        <w:t>.</w:t>
      </w:r>
      <w:r w:rsidR="00C40408" w:rsidRPr="008F07F2">
        <w:rPr>
          <w:rFonts w:ascii="Times New Roman" w:hAnsi="Times New Roman" w:cs="Times New Roman"/>
        </w:rPr>
        <w:t xml:space="preserve">  PC at 57. </w:t>
      </w:r>
      <w:r w:rsidR="00036509">
        <w:rPr>
          <w:rFonts w:ascii="Times New Roman" w:hAnsi="Times New Roman" w:cs="Times New Roman"/>
        </w:rPr>
        <w:t xml:space="preserve"> </w:t>
      </w:r>
    </w:p>
    <w:p w14:paraId="55920A47" w14:textId="7D2B4A1A" w:rsidR="00036509" w:rsidRPr="008F07F2" w:rsidRDefault="00036509" w:rsidP="00036509">
      <w:pPr>
        <w:rPr>
          <w:rFonts w:ascii="Times New Roman" w:hAnsi="Times New Roman" w:cs="Times New Roman"/>
        </w:rPr>
      </w:pPr>
      <w:r>
        <w:rPr>
          <w:rFonts w:ascii="Times New Roman" w:hAnsi="Times New Roman" w:cs="Times New Roman"/>
        </w:rPr>
        <w:lastRenderedPageBreak/>
        <w:t xml:space="preserve">For these reasons, the Environmental Divisions conclusions supporting whitewater boating and scheduled releases are consistent with the CWA and VWQSs.  They also correct the ANR conditions, which were improperly generated without consideration for whitewater boating as an existing use and which if implemented would effectively sacrifice and destroy an established existing use in derogation of federal and state regulatory standards. </w:t>
      </w:r>
    </w:p>
    <w:p w14:paraId="4421F0FE" w14:textId="77777777" w:rsidR="000E5CB8" w:rsidRPr="008F07F2" w:rsidRDefault="00671AC2" w:rsidP="000B5427">
      <w:pPr>
        <w:pStyle w:val="Heading2"/>
      </w:pPr>
      <w:bookmarkStart w:id="13" w:name="_Toc535838877"/>
      <w:r w:rsidRPr="008F07F2">
        <w:t xml:space="preserve">ANR’s Attempt to Qualify the Degree of Protection Due to Existing Uses Is </w:t>
      </w:r>
      <w:r w:rsidR="000E5CB8" w:rsidRPr="008F07F2">
        <w:t xml:space="preserve">Not Entitled </w:t>
      </w:r>
      <w:r w:rsidRPr="008F07F2">
        <w:t xml:space="preserve">to </w:t>
      </w:r>
      <w:r w:rsidR="000E5CB8" w:rsidRPr="008F07F2">
        <w:t>Deference.</w:t>
      </w:r>
      <w:bookmarkEnd w:id="13"/>
      <w:r w:rsidR="000E5CB8" w:rsidRPr="008F07F2">
        <w:t xml:space="preserve"> </w:t>
      </w:r>
    </w:p>
    <w:p w14:paraId="652723C7" w14:textId="77777777" w:rsidR="00AF4902" w:rsidRPr="008F07F2" w:rsidRDefault="000E5CB8" w:rsidP="003D51EB">
      <w:pPr>
        <w:rPr>
          <w:rFonts w:ascii="Times New Roman" w:hAnsi="Times New Roman" w:cs="Times New Roman"/>
        </w:rPr>
      </w:pPr>
      <w:r w:rsidRPr="008F07F2">
        <w:rPr>
          <w:rFonts w:ascii="Times New Roman" w:hAnsi="Times New Roman" w:cs="Times New Roman"/>
        </w:rPr>
        <w:t>As set out above, existing uses such as whitewater boating must be “maintained and protected.”  40 C.F.R. § 131.12(a)(l)</w:t>
      </w:r>
      <w:r w:rsidR="00C04E53" w:rsidRPr="008F07F2">
        <w:rPr>
          <w:rFonts w:ascii="Times New Roman" w:hAnsi="Times New Roman" w:cs="Times New Roman"/>
        </w:rPr>
        <w:fldChar w:fldCharType="begin"/>
      </w:r>
      <w:r w:rsidR="00C04E53" w:rsidRPr="008F07F2">
        <w:rPr>
          <w:rFonts w:ascii="Times New Roman" w:hAnsi="Times New Roman" w:cs="Times New Roman"/>
        </w:rPr>
        <w:instrText xml:space="preserve"> TA \l "40 C.F.R. § 131.12(a)(1)" \s "131.12(a)(1)" \c 6 </w:instrText>
      </w:r>
      <w:r w:rsidR="00C04E53" w:rsidRPr="008F07F2">
        <w:rPr>
          <w:rFonts w:ascii="Times New Roman" w:hAnsi="Times New Roman" w:cs="Times New Roman"/>
        </w:rPr>
        <w:fldChar w:fldCharType="end"/>
      </w:r>
      <w:r w:rsidRPr="008F07F2">
        <w:rPr>
          <w:rFonts w:ascii="Times New Roman" w:hAnsi="Times New Roman" w:cs="Times New Roman"/>
        </w:rPr>
        <w:t>.  Existing uses should not be even partially eliminated.  EPA Water Quality Standards Handbook</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"Handbook"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(2012).</w:t>
      </w:r>
      <w:r w:rsidR="00D05E43" w:rsidRPr="008F07F2">
        <w:rPr>
          <w:rFonts w:ascii="Times New Roman" w:hAnsi="Times New Roman" w:cs="Times New Roman"/>
          <w:vertAlign w:val="superscript"/>
        </w:rPr>
        <w:footnoteReference w:id="3"/>
      </w:r>
      <w:r w:rsidRPr="008F07F2">
        <w:rPr>
          <w:rFonts w:ascii="Times New Roman" w:hAnsi="Times New Roman" w:cs="Times New Roman"/>
        </w:rPr>
        <w:t xml:space="preserve">  </w:t>
      </w:r>
      <w:r w:rsidR="00891931" w:rsidRPr="008F07F2">
        <w:rPr>
          <w:rFonts w:ascii="Times New Roman" w:hAnsi="Times New Roman" w:cs="Times New Roman"/>
        </w:rPr>
        <w:t xml:space="preserve">These requirements are set out in the federal regulations implementing the CWA and in the VWQS. </w:t>
      </w:r>
      <w:r w:rsidR="00671AC2" w:rsidRPr="008F07F2">
        <w:rPr>
          <w:rFonts w:ascii="Times New Roman" w:hAnsi="Times New Roman" w:cs="Times New Roman"/>
        </w:rPr>
        <w:t xml:space="preserve"> </w:t>
      </w:r>
      <w:r w:rsidR="00AF4902" w:rsidRPr="008F07F2">
        <w:rPr>
          <w:rFonts w:ascii="Times New Roman" w:hAnsi="Times New Roman" w:cs="Times New Roman"/>
        </w:rPr>
        <w:t>Notwithstanding these requirements, ANR argues that whitewater boating as an existing use can be limited or eliminated.  This argument relies on a misconstruction of CWA’s implementing regulations</w:t>
      </w:r>
      <w:r w:rsidR="00891931" w:rsidRPr="008F07F2">
        <w:rPr>
          <w:rFonts w:ascii="Times New Roman" w:hAnsi="Times New Roman" w:cs="Times New Roman"/>
        </w:rPr>
        <w:t xml:space="preserve"> and VWQS</w:t>
      </w:r>
      <w:r w:rsidR="00AF4902" w:rsidRPr="008F07F2">
        <w:rPr>
          <w:rFonts w:ascii="Times New Roman" w:hAnsi="Times New Roman" w:cs="Times New Roman"/>
        </w:rPr>
        <w:t xml:space="preserve">, and </w:t>
      </w:r>
      <w:r w:rsidR="00590F70" w:rsidRPr="008F07F2">
        <w:rPr>
          <w:rFonts w:ascii="Times New Roman" w:hAnsi="Times New Roman" w:cs="Times New Roman"/>
        </w:rPr>
        <w:t xml:space="preserve">therefore </w:t>
      </w:r>
      <w:r w:rsidR="00891931" w:rsidRPr="008F07F2">
        <w:rPr>
          <w:rFonts w:ascii="Times New Roman" w:hAnsi="Times New Roman" w:cs="Times New Roman"/>
        </w:rPr>
        <w:t>must fail</w:t>
      </w:r>
      <w:r w:rsidR="00AF4902" w:rsidRPr="008F07F2">
        <w:rPr>
          <w:rFonts w:ascii="Times New Roman" w:hAnsi="Times New Roman" w:cs="Times New Roman"/>
        </w:rPr>
        <w:t xml:space="preserve">. </w:t>
      </w:r>
    </w:p>
    <w:p w14:paraId="29946B87" w14:textId="77777777" w:rsidR="000E5CB8" w:rsidRPr="008F07F2" w:rsidRDefault="000E5CB8" w:rsidP="000B5427">
      <w:pPr>
        <w:pStyle w:val="Heading3"/>
      </w:pPr>
      <w:bookmarkStart w:id="14" w:name="_Toc535838878"/>
      <w:r w:rsidRPr="008F07F2">
        <w:t xml:space="preserve">ANR </w:t>
      </w:r>
      <w:r w:rsidR="00671AC2" w:rsidRPr="008F07F2">
        <w:t>Misconstrues Relevant Federal Regulations.</w:t>
      </w:r>
      <w:bookmarkEnd w:id="14"/>
    </w:p>
    <w:p w14:paraId="3DEDD28A" w14:textId="48B3C70F" w:rsidR="000E5CB8" w:rsidRPr="008F07F2" w:rsidRDefault="000E5CB8" w:rsidP="003D51EB">
      <w:pPr>
        <w:rPr>
          <w:rFonts w:ascii="Times New Roman" w:hAnsi="Times New Roman" w:cs="Times New Roman"/>
        </w:rPr>
      </w:pPr>
      <w:r w:rsidRPr="008F07F2">
        <w:rPr>
          <w:rFonts w:ascii="Times New Roman" w:hAnsi="Times New Roman" w:cs="Times New Roman"/>
        </w:rPr>
        <w:t>ANR misconstrues several federal regulations that implement the CWA</w:t>
      </w:r>
      <w:r w:rsidR="00412CE3" w:rsidRPr="008F07F2">
        <w:rPr>
          <w:rFonts w:ascii="Times New Roman" w:hAnsi="Times New Roman" w:cs="Times New Roman"/>
        </w:rPr>
        <w:t xml:space="preserve"> to assert the position that designated uses can and should be protected at the expense of existing uses</w:t>
      </w:r>
      <w:r w:rsidRPr="008F07F2">
        <w:rPr>
          <w:rFonts w:ascii="Times New Roman" w:hAnsi="Times New Roman" w:cs="Times New Roman"/>
        </w:rPr>
        <w:t>.</w:t>
      </w:r>
      <w:r w:rsidR="002741A2" w:rsidRPr="008F07F2">
        <w:rPr>
          <w:rStyle w:val="FootnoteReference"/>
          <w:rFonts w:ascii="Times New Roman" w:hAnsi="Times New Roman" w:cs="Times New Roman"/>
        </w:rPr>
        <w:footnoteReference w:id="4"/>
      </w:r>
      <w:r w:rsidRPr="008F07F2">
        <w:rPr>
          <w:rFonts w:ascii="Times New Roman" w:hAnsi="Times New Roman" w:cs="Times New Roman"/>
        </w:rPr>
        <w:t xml:space="preserve">  </w:t>
      </w:r>
      <w:r w:rsidR="007475C4" w:rsidRPr="008F07F2">
        <w:rPr>
          <w:rFonts w:ascii="Times New Roman" w:hAnsi="Times New Roman" w:cs="Times New Roman"/>
        </w:rPr>
        <w:t xml:space="preserve">As noted above, </w:t>
      </w:r>
      <w:r w:rsidR="00891931" w:rsidRPr="008F07F2">
        <w:rPr>
          <w:rFonts w:ascii="Times New Roman" w:hAnsi="Times New Roman" w:cs="Times New Roman"/>
        </w:rPr>
        <w:t>ANR’s</w:t>
      </w:r>
      <w:r w:rsidRPr="008F07F2">
        <w:rPr>
          <w:rFonts w:ascii="Times New Roman" w:hAnsi="Times New Roman" w:cs="Times New Roman"/>
        </w:rPr>
        <w:t xml:space="preserve"> interpretation</w:t>
      </w:r>
      <w:r w:rsidR="00891931" w:rsidRPr="008F07F2">
        <w:rPr>
          <w:rFonts w:ascii="Times New Roman" w:hAnsi="Times New Roman" w:cs="Times New Roman"/>
        </w:rPr>
        <w:t xml:space="preserve"> of these regulations is</w:t>
      </w:r>
      <w:r w:rsidRPr="008F07F2">
        <w:rPr>
          <w:rFonts w:ascii="Times New Roman" w:hAnsi="Times New Roman" w:cs="Times New Roman"/>
        </w:rPr>
        <w:t xml:space="preserve"> not entitled to any deference.  </w:t>
      </w:r>
      <w:r w:rsidRPr="008F07F2">
        <w:rPr>
          <w:rFonts w:ascii="Times New Roman" w:hAnsi="Times New Roman" w:cs="Times New Roman"/>
          <w:i/>
        </w:rPr>
        <w:t>Stormwater NPDES</w:t>
      </w:r>
      <w:r w:rsidR="00D03FB1" w:rsidRPr="008F07F2">
        <w:rPr>
          <w:rFonts w:ascii="Times New Roman" w:hAnsi="Times New Roman" w:cs="Times New Roman"/>
          <w:i/>
        </w:rPr>
        <w:fldChar w:fldCharType="begin"/>
      </w:r>
      <w:r w:rsidR="00D03FB1" w:rsidRPr="008F07F2">
        <w:rPr>
          <w:rFonts w:ascii="Times New Roman" w:hAnsi="Times New Roman" w:cs="Times New Roman"/>
          <w:i/>
        </w:rPr>
        <w:instrText xml:space="preserve"> TA \s "NPDES" </w:instrText>
      </w:r>
      <w:r w:rsidR="00D03FB1" w:rsidRPr="008F07F2">
        <w:rPr>
          <w:rFonts w:ascii="Times New Roman" w:hAnsi="Times New Roman" w:cs="Times New Roman"/>
          <w:i/>
        </w:rPr>
        <w:fldChar w:fldCharType="end"/>
      </w:r>
      <w:r w:rsidRPr="008F07F2">
        <w:rPr>
          <w:rFonts w:ascii="Times New Roman" w:hAnsi="Times New Roman" w:cs="Times New Roman"/>
          <w:i/>
        </w:rPr>
        <w:t xml:space="preserve"> Petition</w:t>
      </w:r>
      <w:r w:rsidRPr="008F07F2">
        <w:rPr>
          <w:rFonts w:ascii="Times New Roman" w:hAnsi="Times New Roman" w:cs="Times New Roman"/>
        </w:rPr>
        <w:t xml:space="preserve">, 2006 VT 91, ¶ 13 n.2.  Instead of deferring to ANR, the Court should </w:t>
      </w:r>
      <w:r w:rsidRPr="008F07F2">
        <w:rPr>
          <w:rFonts w:ascii="Times New Roman" w:hAnsi="Times New Roman" w:cs="Times New Roman"/>
        </w:rPr>
        <w:lastRenderedPageBreak/>
        <w:t xml:space="preserve">construe the regulations according to their plain language and within the regulatory </w:t>
      </w:r>
      <w:proofErr w:type="gramStart"/>
      <w:r w:rsidRPr="008F07F2">
        <w:rPr>
          <w:rFonts w:ascii="Times New Roman" w:hAnsi="Times New Roman" w:cs="Times New Roman"/>
        </w:rPr>
        <w:t>scheme as a whole</w:t>
      </w:r>
      <w:proofErr w:type="gramEnd"/>
      <w:r w:rsidRPr="008F07F2">
        <w:rPr>
          <w:rFonts w:ascii="Times New Roman" w:hAnsi="Times New Roman" w:cs="Times New Roman"/>
        </w:rPr>
        <w:t xml:space="preserve">.  </w:t>
      </w:r>
      <w:r w:rsidRPr="008F07F2">
        <w:rPr>
          <w:rFonts w:ascii="Times New Roman" w:hAnsi="Times New Roman" w:cs="Times New Roman"/>
          <w:i/>
        </w:rPr>
        <w:t>Williston</w:t>
      </w:r>
      <w:r w:rsidR="008F43FC" w:rsidRPr="008F07F2">
        <w:rPr>
          <w:rFonts w:ascii="Times New Roman" w:hAnsi="Times New Roman" w:cs="Times New Roman"/>
          <w:i/>
        </w:rPr>
        <w:fldChar w:fldCharType="begin"/>
      </w:r>
      <w:r w:rsidR="008F43FC" w:rsidRPr="008F07F2">
        <w:rPr>
          <w:rFonts w:ascii="Times New Roman" w:hAnsi="Times New Roman" w:cs="Times New Roman"/>
          <w:i/>
        </w:rPr>
        <w:instrText xml:space="preserve"> TA \s "Williston" </w:instrText>
      </w:r>
      <w:r w:rsidR="008F43FC" w:rsidRPr="008F07F2">
        <w:rPr>
          <w:rFonts w:ascii="Times New Roman" w:hAnsi="Times New Roman" w:cs="Times New Roman"/>
          <w:i/>
        </w:rPr>
        <w:fldChar w:fldCharType="end"/>
      </w:r>
      <w:r w:rsidRPr="008F07F2">
        <w:rPr>
          <w:rFonts w:ascii="Times New Roman" w:hAnsi="Times New Roman" w:cs="Times New Roman"/>
          <w:i/>
        </w:rPr>
        <w:t xml:space="preserve"> Inn Grp.</w:t>
      </w:r>
      <w:r w:rsidRPr="008F07F2">
        <w:rPr>
          <w:rFonts w:ascii="Times New Roman" w:hAnsi="Times New Roman" w:cs="Times New Roman"/>
        </w:rPr>
        <w:t xml:space="preserve">, 2008 VT 47, ¶ 14; </w:t>
      </w:r>
      <w:r w:rsidRPr="008F07F2">
        <w:rPr>
          <w:rFonts w:ascii="Times New Roman" w:hAnsi="Times New Roman" w:cs="Times New Roman"/>
          <w:i/>
        </w:rPr>
        <w:t>Albert</w:t>
      </w:r>
      <w:r w:rsidR="00D03FB1" w:rsidRPr="008F07F2">
        <w:rPr>
          <w:rFonts w:ascii="Times New Roman" w:hAnsi="Times New Roman" w:cs="Times New Roman"/>
          <w:i/>
        </w:rPr>
        <w:fldChar w:fldCharType="begin"/>
      </w:r>
      <w:r w:rsidR="00D03FB1" w:rsidRPr="008F07F2">
        <w:rPr>
          <w:rFonts w:ascii="Times New Roman" w:hAnsi="Times New Roman" w:cs="Times New Roman"/>
          <w:i/>
        </w:rPr>
        <w:instrText xml:space="preserve"> TA \s "Albert" </w:instrText>
      </w:r>
      <w:r w:rsidR="00D03FB1" w:rsidRPr="008F07F2">
        <w:rPr>
          <w:rFonts w:ascii="Times New Roman" w:hAnsi="Times New Roman" w:cs="Times New Roman"/>
          <w:i/>
        </w:rPr>
        <w:fldChar w:fldCharType="end"/>
      </w:r>
      <w:r w:rsidRPr="008F07F2">
        <w:rPr>
          <w:rFonts w:ascii="Times New Roman" w:hAnsi="Times New Roman" w:cs="Times New Roman"/>
        </w:rPr>
        <w:t xml:space="preserve">, 2008 VT 30, ¶ 20.  </w:t>
      </w:r>
    </w:p>
    <w:p w14:paraId="67B2D052" w14:textId="6DE20E96" w:rsidR="00412CE3" w:rsidRPr="008F07F2" w:rsidRDefault="00DF2B36" w:rsidP="003D51EB">
      <w:pPr>
        <w:rPr>
          <w:rFonts w:ascii="Times New Roman" w:hAnsi="Times New Roman" w:cs="Times New Roman"/>
        </w:rPr>
      </w:pPr>
      <w:r w:rsidRPr="008F07F2">
        <w:rPr>
          <w:rFonts w:ascii="Times New Roman" w:hAnsi="Times New Roman" w:cs="Times New Roman"/>
        </w:rPr>
        <w:t>Under federal regulations implementing the CWA, where a given water body has multiple designated uses, the water quality criteria that protect designated uses in general must be designed to support the most sensitive one.  40 C.F.R. § 131.11(a)(1)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\l "40 C.F.R. § 131.11(a)(1)" \s "131.11(a)(1)" \c 6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w:t>
      </w:r>
      <w:r w:rsidR="000E5CB8" w:rsidRPr="008F07F2">
        <w:rPr>
          <w:rFonts w:ascii="Times New Roman" w:hAnsi="Times New Roman" w:cs="Times New Roman"/>
        </w:rPr>
        <w:t xml:space="preserve">ANR </w:t>
      </w:r>
      <w:r w:rsidRPr="008F07F2">
        <w:rPr>
          <w:rFonts w:ascii="Times New Roman" w:hAnsi="Times New Roman" w:cs="Times New Roman"/>
        </w:rPr>
        <w:t xml:space="preserve">cites this regulation for the proposition that the sensitive designated use of aquatic biota, wildlife, and aquatic habitat </w:t>
      </w:r>
      <w:r w:rsidR="000E5CB8" w:rsidRPr="008F07F2">
        <w:rPr>
          <w:rFonts w:ascii="Times New Roman" w:hAnsi="Times New Roman" w:cs="Times New Roman"/>
        </w:rPr>
        <w:t xml:space="preserve">should be prioritized over existing uses such as whitewater boating.  ANR Brief at 18.  </w:t>
      </w:r>
      <w:r w:rsidRPr="008F07F2">
        <w:rPr>
          <w:rFonts w:ascii="Times New Roman" w:hAnsi="Times New Roman" w:cs="Times New Roman"/>
        </w:rPr>
        <w:t xml:space="preserve">By its express terms, however, this regulation applies to </w:t>
      </w:r>
      <w:r w:rsidRPr="008F07F2">
        <w:rPr>
          <w:rFonts w:ascii="Times New Roman" w:hAnsi="Times New Roman" w:cs="Times New Roman"/>
          <w:i/>
        </w:rPr>
        <w:t>designated uses</w:t>
      </w:r>
      <w:r w:rsidRPr="008F07F2">
        <w:rPr>
          <w:rFonts w:ascii="Times New Roman" w:hAnsi="Times New Roman" w:cs="Times New Roman"/>
        </w:rPr>
        <w:t>, and not</w:t>
      </w:r>
      <w:r w:rsidR="009D3251" w:rsidRPr="008F07F2">
        <w:rPr>
          <w:rFonts w:ascii="Times New Roman" w:hAnsi="Times New Roman" w:cs="Times New Roman"/>
        </w:rPr>
        <w:t xml:space="preserve"> to</w:t>
      </w:r>
      <w:r w:rsidRPr="008F07F2">
        <w:rPr>
          <w:rFonts w:ascii="Times New Roman" w:hAnsi="Times New Roman" w:cs="Times New Roman"/>
        </w:rPr>
        <w:t xml:space="preserve"> </w:t>
      </w:r>
      <w:r w:rsidRPr="008F07F2">
        <w:rPr>
          <w:rFonts w:ascii="Times New Roman" w:hAnsi="Times New Roman" w:cs="Times New Roman"/>
          <w:i/>
        </w:rPr>
        <w:t>existing uses</w:t>
      </w:r>
      <w:r w:rsidRPr="008F07F2">
        <w:rPr>
          <w:rFonts w:ascii="Times New Roman" w:hAnsi="Times New Roman" w:cs="Times New Roman"/>
        </w:rPr>
        <w:t xml:space="preserve">.  It is therefore a misconstruction of the regulation to read it as allowing </w:t>
      </w:r>
      <w:r w:rsidR="00412CE3" w:rsidRPr="008F07F2">
        <w:rPr>
          <w:rFonts w:ascii="Times New Roman" w:hAnsi="Times New Roman" w:cs="Times New Roman"/>
        </w:rPr>
        <w:t xml:space="preserve">or requiring </w:t>
      </w:r>
      <w:r w:rsidRPr="008F07F2">
        <w:rPr>
          <w:rFonts w:ascii="Times New Roman" w:hAnsi="Times New Roman" w:cs="Times New Roman"/>
        </w:rPr>
        <w:t>a designated use to be prioritized over an existing use</w:t>
      </w:r>
      <w:r w:rsidR="00412CE3" w:rsidRPr="008F07F2">
        <w:rPr>
          <w:rFonts w:ascii="Times New Roman" w:hAnsi="Times New Roman" w:cs="Times New Roman"/>
        </w:rPr>
        <w:t>.  Apart from not being supported by the plain language of the regulation, ANR’s reading would also undermine the purpose of the regulatory scheme by allowing existing uses to be limited or eliminated.</w:t>
      </w:r>
      <w:r w:rsidR="002741A2" w:rsidRPr="008F07F2">
        <w:rPr>
          <w:rStyle w:val="FootnoteReference"/>
          <w:rFonts w:ascii="Times New Roman" w:hAnsi="Times New Roman" w:cs="Times New Roman"/>
        </w:rPr>
        <w:footnoteReference w:id="5"/>
      </w:r>
      <w:r w:rsidR="00412CE3" w:rsidRPr="008F07F2">
        <w:rPr>
          <w:rFonts w:ascii="Times New Roman" w:hAnsi="Times New Roman" w:cs="Times New Roman"/>
        </w:rPr>
        <w:t xml:space="preserve">  </w:t>
      </w:r>
    </w:p>
    <w:p w14:paraId="51EED1F9" w14:textId="5F67B59D" w:rsidR="000E5CB8" w:rsidRPr="008F07F2" w:rsidRDefault="00E06314" w:rsidP="003D51EB">
      <w:pPr>
        <w:rPr>
          <w:rFonts w:ascii="Times New Roman" w:hAnsi="Times New Roman" w:cs="Times New Roman"/>
        </w:rPr>
      </w:pPr>
      <w:r w:rsidRPr="008F07F2">
        <w:rPr>
          <w:rFonts w:ascii="Times New Roman" w:hAnsi="Times New Roman" w:cs="Times New Roman"/>
        </w:rPr>
        <w:t xml:space="preserve">The federal regulations </w:t>
      </w:r>
      <w:r w:rsidR="00073FC6" w:rsidRPr="008F07F2">
        <w:rPr>
          <w:rFonts w:ascii="Times New Roman" w:hAnsi="Times New Roman" w:cs="Times New Roman"/>
        </w:rPr>
        <w:t xml:space="preserve">also </w:t>
      </w:r>
      <w:r w:rsidRPr="008F07F2">
        <w:rPr>
          <w:rFonts w:ascii="Times New Roman" w:hAnsi="Times New Roman" w:cs="Times New Roman"/>
        </w:rPr>
        <w:t>provide that “States may no</w:t>
      </w:r>
      <w:r w:rsidR="00396202" w:rsidRPr="008F07F2">
        <w:rPr>
          <w:rFonts w:ascii="Times New Roman" w:hAnsi="Times New Roman" w:cs="Times New Roman"/>
        </w:rPr>
        <w:t xml:space="preserve">t remove designated uses </w:t>
      </w:r>
      <w:proofErr w:type="gramStart"/>
      <w:r w:rsidR="00396202" w:rsidRPr="008F07F2">
        <w:rPr>
          <w:rFonts w:ascii="Times New Roman" w:hAnsi="Times New Roman" w:cs="Times New Roman"/>
        </w:rPr>
        <w:t xml:space="preserve">if </w:t>
      </w:r>
      <w:r w:rsidR="00671AC2" w:rsidRPr="008F07F2">
        <w:rPr>
          <w:rFonts w:ascii="Times New Roman" w:hAnsi="Times New Roman" w:cs="Times New Roman"/>
        </w:rPr>
        <w:t>.</w:t>
      </w:r>
      <w:proofErr w:type="gramEnd"/>
      <w:r w:rsidR="00671AC2" w:rsidRPr="008F07F2">
        <w:rPr>
          <w:rFonts w:ascii="Times New Roman" w:hAnsi="Times New Roman" w:cs="Times New Roman"/>
        </w:rPr>
        <w:t> . </w:t>
      </w:r>
      <w:r w:rsidRPr="008F07F2">
        <w:rPr>
          <w:rFonts w:ascii="Times New Roman" w:hAnsi="Times New Roman" w:cs="Times New Roman"/>
        </w:rPr>
        <w:t>. [t]hey are existing uses</w:t>
      </w:r>
      <w:r w:rsidR="00073FC6" w:rsidRPr="008F07F2">
        <w:rPr>
          <w:rFonts w:ascii="Times New Roman" w:hAnsi="Times New Roman" w:cs="Times New Roman"/>
        </w:rPr>
        <w:t xml:space="preserve"> . . .</w:t>
      </w:r>
      <w:r w:rsidRPr="008F07F2">
        <w:rPr>
          <w:rFonts w:ascii="Times New Roman" w:hAnsi="Times New Roman" w:cs="Times New Roman"/>
        </w:rPr>
        <w:t xml:space="preserve"> unless a use requiring more stringent criteria is added.”  40 C.F.R. § 131.10</w:t>
      </w:r>
      <w:r w:rsidR="009A5F7F" w:rsidRPr="008F07F2">
        <w:rPr>
          <w:rFonts w:ascii="Times New Roman" w:hAnsi="Times New Roman" w:cs="Times New Roman"/>
        </w:rPr>
        <w:t>(</w:t>
      </w:r>
      <w:r w:rsidRPr="008F07F2">
        <w:rPr>
          <w:rFonts w:ascii="Times New Roman" w:hAnsi="Times New Roman" w:cs="Times New Roman"/>
        </w:rPr>
        <w:t>h)(1)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\l "40 C.F.R. § 131.10(h)(1)" \s "131.10(h)(1)" \c 6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w:t>
      </w:r>
      <w:r w:rsidR="000E5CB8" w:rsidRPr="008F07F2">
        <w:rPr>
          <w:rFonts w:ascii="Times New Roman" w:hAnsi="Times New Roman" w:cs="Times New Roman"/>
        </w:rPr>
        <w:t xml:space="preserve">ANR </w:t>
      </w:r>
      <w:r w:rsidRPr="008F07F2">
        <w:rPr>
          <w:rFonts w:ascii="Times New Roman" w:hAnsi="Times New Roman" w:cs="Times New Roman"/>
        </w:rPr>
        <w:t>cites this regulation as supporting the proposition</w:t>
      </w:r>
      <w:r w:rsidR="000E5CB8" w:rsidRPr="008F07F2">
        <w:rPr>
          <w:rFonts w:ascii="Times New Roman" w:hAnsi="Times New Roman" w:cs="Times New Roman"/>
        </w:rPr>
        <w:t xml:space="preserve"> that if a designated use requires more stringent protections than an existing use, </w:t>
      </w:r>
      <w:r w:rsidR="00891931" w:rsidRPr="008F07F2">
        <w:rPr>
          <w:rFonts w:ascii="Times New Roman" w:hAnsi="Times New Roman" w:cs="Times New Roman"/>
        </w:rPr>
        <w:t>“</w:t>
      </w:r>
      <w:r w:rsidR="000E5CB8" w:rsidRPr="008F07F2">
        <w:rPr>
          <w:rFonts w:ascii="Times New Roman" w:hAnsi="Times New Roman" w:cs="Times New Roman"/>
        </w:rPr>
        <w:t>the existing use is covered</w:t>
      </w:r>
      <w:r w:rsidR="00891931" w:rsidRPr="008F07F2">
        <w:rPr>
          <w:rFonts w:ascii="Times New Roman" w:hAnsi="Times New Roman" w:cs="Times New Roman"/>
        </w:rPr>
        <w:t>”</w:t>
      </w:r>
      <w:r w:rsidR="000E5CB8" w:rsidRPr="008F07F2">
        <w:rPr>
          <w:rFonts w:ascii="Times New Roman" w:hAnsi="Times New Roman" w:cs="Times New Roman"/>
        </w:rPr>
        <w:t xml:space="preserve"> and </w:t>
      </w:r>
      <w:r w:rsidR="00891931" w:rsidRPr="008F07F2">
        <w:rPr>
          <w:rFonts w:ascii="Times New Roman" w:hAnsi="Times New Roman" w:cs="Times New Roman"/>
        </w:rPr>
        <w:t>“</w:t>
      </w:r>
      <w:r w:rsidR="000E5CB8" w:rsidRPr="008F07F2">
        <w:rPr>
          <w:rFonts w:ascii="Times New Roman" w:hAnsi="Times New Roman" w:cs="Times New Roman"/>
        </w:rPr>
        <w:t>may be removed.</w:t>
      </w:r>
      <w:r w:rsidR="00891931" w:rsidRPr="008F07F2">
        <w:rPr>
          <w:rFonts w:ascii="Times New Roman" w:hAnsi="Times New Roman" w:cs="Times New Roman"/>
        </w:rPr>
        <w:t>”</w:t>
      </w:r>
      <w:r w:rsidR="000E5CB8" w:rsidRPr="008F07F2">
        <w:rPr>
          <w:rFonts w:ascii="Times New Roman" w:hAnsi="Times New Roman" w:cs="Times New Roman"/>
        </w:rPr>
        <w:t xml:space="preserve">  ANR Brief at 20.  </w:t>
      </w:r>
      <w:r w:rsidRPr="008F07F2">
        <w:rPr>
          <w:rFonts w:ascii="Times New Roman" w:hAnsi="Times New Roman" w:cs="Times New Roman"/>
        </w:rPr>
        <w:t>A</w:t>
      </w:r>
      <w:r w:rsidR="00073FC6" w:rsidRPr="008F07F2">
        <w:rPr>
          <w:rFonts w:ascii="Times New Roman" w:hAnsi="Times New Roman" w:cs="Times New Roman"/>
        </w:rPr>
        <w:t xml:space="preserve">gain, this is a misconstruction, as a </w:t>
      </w:r>
      <w:r w:rsidR="00412CE3" w:rsidRPr="008F07F2">
        <w:rPr>
          <w:rFonts w:ascii="Times New Roman" w:hAnsi="Times New Roman" w:cs="Times New Roman"/>
        </w:rPr>
        <w:t>plain-language reading of §</w:t>
      </w:r>
      <w:r w:rsidR="00073FC6" w:rsidRPr="008F07F2">
        <w:rPr>
          <w:rFonts w:ascii="Times New Roman" w:hAnsi="Times New Roman" w:cs="Times New Roman"/>
        </w:rPr>
        <w:t> </w:t>
      </w:r>
      <w:r w:rsidR="00412CE3" w:rsidRPr="008F07F2">
        <w:rPr>
          <w:rFonts w:ascii="Times New Roman" w:hAnsi="Times New Roman" w:cs="Times New Roman"/>
        </w:rPr>
        <w:t>131.10(h)(1)</w:t>
      </w:r>
      <w:r w:rsidR="00891931" w:rsidRPr="008F07F2">
        <w:rPr>
          <w:rFonts w:ascii="Times New Roman" w:hAnsi="Times New Roman" w:cs="Times New Roman"/>
        </w:rPr>
        <w:t xml:space="preserve"> </w:t>
      </w:r>
      <w:r w:rsidR="000E5CB8" w:rsidRPr="008F07F2">
        <w:rPr>
          <w:rFonts w:ascii="Times New Roman" w:hAnsi="Times New Roman" w:cs="Times New Roman"/>
        </w:rPr>
        <w:t xml:space="preserve">does not authorize removing an </w:t>
      </w:r>
      <w:r w:rsidR="000E5CB8" w:rsidRPr="001B4DAC">
        <w:rPr>
          <w:rFonts w:ascii="Times New Roman" w:hAnsi="Times New Roman" w:cs="Times New Roman"/>
          <w:i/>
        </w:rPr>
        <w:t>existing use</w:t>
      </w:r>
      <w:r w:rsidR="000E5CB8" w:rsidRPr="008F07F2">
        <w:rPr>
          <w:rFonts w:ascii="Times New Roman" w:hAnsi="Times New Roman" w:cs="Times New Roman"/>
        </w:rPr>
        <w:t xml:space="preserve"> from protection.  Instead, where a use is both existing and designated, </w:t>
      </w:r>
      <w:r w:rsidR="00073FC6" w:rsidRPr="008F07F2">
        <w:rPr>
          <w:rFonts w:ascii="Times New Roman" w:hAnsi="Times New Roman" w:cs="Times New Roman"/>
        </w:rPr>
        <w:t>this regulation</w:t>
      </w:r>
      <w:r w:rsidR="000E5CB8" w:rsidRPr="008F07F2">
        <w:rPr>
          <w:rFonts w:ascii="Times New Roman" w:hAnsi="Times New Roman" w:cs="Times New Roman"/>
        </w:rPr>
        <w:t xml:space="preserve"> allows the state to replace the </w:t>
      </w:r>
      <w:r w:rsidR="000E5CB8" w:rsidRPr="001B4DAC">
        <w:rPr>
          <w:rFonts w:ascii="Times New Roman" w:hAnsi="Times New Roman" w:cs="Times New Roman"/>
          <w:i/>
        </w:rPr>
        <w:t>designated</w:t>
      </w:r>
      <w:r w:rsidR="000E5CB8" w:rsidRPr="008F07F2">
        <w:rPr>
          <w:rFonts w:ascii="Times New Roman" w:hAnsi="Times New Roman" w:cs="Times New Roman"/>
        </w:rPr>
        <w:t xml:space="preserve"> use with a more stringent </w:t>
      </w:r>
      <w:r w:rsidR="000E5CB8" w:rsidRPr="001B4DAC">
        <w:rPr>
          <w:rFonts w:ascii="Times New Roman" w:hAnsi="Times New Roman" w:cs="Times New Roman"/>
          <w:i/>
        </w:rPr>
        <w:t>designated</w:t>
      </w:r>
      <w:r w:rsidR="000E5CB8" w:rsidRPr="008F07F2">
        <w:rPr>
          <w:rFonts w:ascii="Times New Roman" w:hAnsi="Times New Roman" w:cs="Times New Roman"/>
        </w:rPr>
        <w:t xml:space="preserve"> use.  In this process, the existing use remains in place.  </w:t>
      </w:r>
      <w:r w:rsidR="008F07F2" w:rsidRPr="008F07F2">
        <w:rPr>
          <w:rFonts w:ascii="Times New Roman" w:hAnsi="Times New Roman" w:cs="Times New Roman"/>
        </w:rPr>
        <w:t xml:space="preserve">In other words, the existing use and designated use are not the same.  They remain distinct, but they operate in </w:t>
      </w:r>
      <w:r w:rsidR="008F07F2" w:rsidRPr="008F07F2">
        <w:rPr>
          <w:rFonts w:ascii="Times New Roman" w:hAnsi="Times New Roman" w:cs="Times New Roman"/>
        </w:rPr>
        <w:lastRenderedPageBreak/>
        <w:t>parallel where the designated use can bolster the existing</w:t>
      </w:r>
      <w:r w:rsidR="0083424C">
        <w:rPr>
          <w:rFonts w:ascii="Times New Roman" w:hAnsi="Times New Roman" w:cs="Times New Roman"/>
        </w:rPr>
        <w:t xml:space="preserve"> use</w:t>
      </w:r>
      <w:r w:rsidR="008F07F2" w:rsidRPr="008F07F2">
        <w:rPr>
          <w:rFonts w:ascii="Times New Roman" w:hAnsi="Times New Roman" w:cs="Times New Roman"/>
        </w:rPr>
        <w:t xml:space="preserve"> but cannot undermine or eliminate it. </w:t>
      </w:r>
      <w:r w:rsidR="001B4DAC">
        <w:rPr>
          <w:rFonts w:ascii="Times New Roman" w:hAnsi="Times New Roman" w:cs="Times New Roman"/>
        </w:rPr>
        <w:t xml:space="preserve"> </w:t>
      </w:r>
      <w:r w:rsidR="00412CE3" w:rsidRPr="008F07F2">
        <w:rPr>
          <w:rFonts w:ascii="Times New Roman" w:hAnsi="Times New Roman" w:cs="Times New Roman"/>
        </w:rPr>
        <w:t xml:space="preserve">Again, ANR’s interpretation not only misreads the regulation, but would undermine the regulatory scheme generally by allowing existing uses to be limited or eliminated.  </w:t>
      </w:r>
    </w:p>
    <w:p w14:paraId="51FA24C8" w14:textId="77777777" w:rsidR="000E5CB8" w:rsidRPr="008F07F2" w:rsidRDefault="000E5CB8" w:rsidP="003D51EB">
      <w:pPr>
        <w:rPr>
          <w:rFonts w:ascii="Times New Roman" w:hAnsi="Times New Roman" w:cs="Times New Roman"/>
        </w:rPr>
      </w:pPr>
      <w:r w:rsidRPr="008F07F2">
        <w:rPr>
          <w:rFonts w:ascii="Times New Roman" w:hAnsi="Times New Roman" w:cs="Times New Roman"/>
        </w:rPr>
        <w:t xml:space="preserve">ANR </w:t>
      </w:r>
      <w:r w:rsidR="00396202" w:rsidRPr="008F07F2">
        <w:rPr>
          <w:rFonts w:ascii="Times New Roman" w:hAnsi="Times New Roman" w:cs="Times New Roman"/>
        </w:rPr>
        <w:t xml:space="preserve">further </w:t>
      </w:r>
      <w:r w:rsidRPr="008F07F2">
        <w:rPr>
          <w:rFonts w:ascii="Times New Roman" w:hAnsi="Times New Roman" w:cs="Times New Roman"/>
        </w:rPr>
        <w:t xml:space="preserve">asserts that federal regulations </w:t>
      </w:r>
      <w:r w:rsidR="00396202" w:rsidRPr="008F07F2">
        <w:rPr>
          <w:rFonts w:ascii="Times New Roman" w:hAnsi="Times New Roman" w:cs="Times New Roman"/>
        </w:rPr>
        <w:t>requiring</w:t>
      </w:r>
      <w:r w:rsidRPr="008F07F2">
        <w:rPr>
          <w:rFonts w:ascii="Times New Roman" w:hAnsi="Times New Roman" w:cs="Times New Roman"/>
        </w:rPr>
        <w:t xml:space="preserve"> states to establish </w:t>
      </w:r>
      <w:r w:rsidR="00396202" w:rsidRPr="008F07F2">
        <w:rPr>
          <w:rFonts w:ascii="Times New Roman" w:hAnsi="Times New Roman" w:cs="Times New Roman"/>
        </w:rPr>
        <w:t>antidegradation policies</w:t>
      </w:r>
      <w:r w:rsidRPr="008F07F2">
        <w:rPr>
          <w:rFonts w:ascii="Times New Roman" w:hAnsi="Times New Roman" w:cs="Times New Roman"/>
        </w:rPr>
        <w:t xml:space="preserve"> </w:t>
      </w:r>
      <w:r w:rsidR="00456E2C" w:rsidRPr="008F07F2">
        <w:rPr>
          <w:rFonts w:ascii="Times New Roman" w:hAnsi="Times New Roman" w:cs="Times New Roman"/>
        </w:rPr>
        <w:t>are</w:t>
      </w:r>
      <w:r w:rsidRPr="008F07F2">
        <w:rPr>
          <w:rFonts w:ascii="Times New Roman" w:hAnsi="Times New Roman" w:cs="Times New Roman"/>
        </w:rPr>
        <w:t xml:space="preserve"> intended, at least in some circumstances, to protect designated uses, even where doing so would limit or eliminate existing uses.  This is a misconstruction of those regulations.   </w:t>
      </w:r>
    </w:p>
    <w:p w14:paraId="0461F902" w14:textId="77777777" w:rsidR="000E5CB8" w:rsidRPr="008F07F2" w:rsidRDefault="000E5CB8" w:rsidP="003D51EB">
      <w:pPr>
        <w:rPr>
          <w:rFonts w:ascii="Times New Roman" w:hAnsi="Times New Roman" w:cs="Times New Roman"/>
        </w:rPr>
      </w:pPr>
      <w:r w:rsidRPr="008F07F2">
        <w:rPr>
          <w:rFonts w:ascii="Times New Roman" w:hAnsi="Times New Roman" w:cs="Times New Roman"/>
        </w:rPr>
        <w:t xml:space="preserve">As set out above, CWA implementing regulations call for states to </w:t>
      </w:r>
      <w:r w:rsidR="00456E2C" w:rsidRPr="008F07F2">
        <w:rPr>
          <w:rFonts w:ascii="Times New Roman" w:hAnsi="Times New Roman" w:cs="Times New Roman"/>
        </w:rPr>
        <w:t>establish both designated uses</w:t>
      </w:r>
      <w:r w:rsidRPr="008F07F2">
        <w:rPr>
          <w:rFonts w:ascii="Times New Roman" w:hAnsi="Times New Roman" w:cs="Times New Roman"/>
        </w:rPr>
        <w:t>, 40 C.F.R. § 131.10</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"131.10" </w:instrText>
      </w:r>
      <w:r w:rsidR="009A5F7F" w:rsidRPr="008F07F2">
        <w:rPr>
          <w:rFonts w:ascii="Times New Roman" w:hAnsi="Times New Roman" w:cs="Times New Roman"/>
        </w:rPr>
        <w:fldChar w:fldCharType="end"/>
      </w:r>
      <w:r w:rsidRPr="008F07F2">
        <w:rPr>
          <w:rFonts w:ascii="Times New Roman" w:hAnsi="Times New Roman" w:cs="Times New Roman"/>
        </w:rPr>
        <w:t>, and water quality criteria to protect those designated uses, 40 C.F.R. § 131.11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"131.11" </w:instrText>
      </w:r>
      <w:r w:rsidR="009A5F7F" w:rsidRPr="008F07F2">
        <w:rPr>
          <w:rFonts w:ascii="Times New Roman" w:hAnsi="Times New Roman" w:cs="Times New Roman"/>
        </w:rPr>
        <w:fldChar w:fldCharType="end"/>
      </w:r>
      <w:r w:rsidRPr="008F07F2">
        <w:rPr>
          <w:rFonts w:ascii="Times New Roman" w:hAnsi="Times New Roman" w:cs="Times New Roman"/>
        </w:rPr>
        <w:t>.  The regulations also require states to establish antidegradation policies to protect existing uses.  40 C.F.R. § 131.12</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"131.12"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w:t>
      </w:r>
    </w:p>
    <w:p w14:paraId="3D9A67DE" w14:textId="77777777" w:rsidR="000E5CB8" w:rsidRPr="008F07F2" w:rsidRDefault="000E5CB8" w:rsidP="003D51EB">
      <w:pPr>
        <w:rPr>
          <w:rFonts w:ascii="Times New Roman" w:hAnsi="Times New Roman" w:cs="Times New Roman"/>
        </w:rPr>
      </w:pPr>
      <w:r w:rsidRPr="008F07F2">
        <w:rPr>
          <w:rFonts w:ascii="Times New Roman" w:hAnsi="Times New Roman" w:cs="Times New Roman"/>
        </w:rPr>
        <w:t>Th</w:t>
      </w:r>
      <w:r w:rsidR="00F8656A" w:rsidRPr="008F07F2">
        <w:rPr>
          <w:rFonts w:ascii="Times New Roman" w:hAnsi="Times New Roman" w:cs="Times New Roman"/>
        </w:rPr>
        <w:t>e</w:t>
      </w:r>
      <w:r w:rsidRPr="008F07F2">
        <w:rPr>
          <w:rFonts w:ascii="Times New Roman" w:hAnsi="Times New Roman" w:cs="Times New Roman"/>
        </w:rPr>
        <w:t xml:space="preserve"> federal </w:t>
      </w:r>
      <w:r w:rsidR="00456E2C" w:rsidRPr="008F07F2">
        <w:rPr>
          <w:rFonts w:ascii="Times New Roman" w:hAnsi="Times New Roman" w:cs="Times New Roman"/>
        </w:rPr>
        <w:t xml:space="preserve">antidegradation </w:t>
      </w:r>
      <w:r w:rsidRPr="008F07F2">
        <w:rPr>
          <w:rFonts w:ascii="Times New Roman" w:hAnsi="Times New Roman" w:cs="Times New Roman"/>
        </w:rPr>
        <w:t>mandate protects existing uses by requiring states to “develop and adopt a statewide antidegradation policy [which] shall, at a minimum, be consistent with the following: . . . Existing instream water uses and the level of water quality necessary to protect the existing uses shall be maintained and protected.”  40 C.F.R. §</w:t>
      </w:r>
      <w:r w:rsidR="009A5F7F" w:rsidRPr="008F07F2">
        <w:rPr>
          <w:rFonts w:ascii="Times New Roman" w:hAnsi="Times New Roman" w:cs="Times New Roman"/>
        </w:rPr>
        <w:t xml:space="preserve"> </w:t>
      </w:r>
      <w:r w:rsidRPr="008F07F2">
        <w:rPr>
          <w:rFonts w:ascii="Times New Roman" w:hAnsi="Times New Roman" w:cs="Times New Roman"/>
        </w:rPr>
        <w:t>131.12(a)(1)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\l "40 C.F.R. § 131.12(a)(1)" \s "131.12(a)(1)" \c 6 </w:instrText>
      </w:r>
      <w:r w:rsidR="009A5F7F" w:rsidRPr="008F07F2">
        <w:rPr>
          <w:rFonts w:ascii="Times New Roman" w:hAnsi="Times New Roman" w:cs="Times New Roman"/>
        </w:rPr>
        <w:fldChar w:fldCharType="end"/>
      </w:r>
      <w:r w:rsidRPr="008F07F2">
        <w:rPr>
          <w:rFonts w:ascii="Times New Roman" w:hAnsi="Times New Roman" w:cs="Times New Roman"/>
        </w:rPr>
        <w:t>.  This so-called “Tier I protection establishes the minimum water quality standard for all of a State</w:t>
      </w:r>
      <w:r w:rsidR="008E6286" w:rsidRPr="008F07F2">
        <w:rPr>
          <w:rFonts w:ascii="Times New Roman" w:hAnsi="Times New Roman" w:cs="Times New Roman"/>
        </w:rPr>
        <w:t>’</w:t>
      </w:r>
      <w:r w:rsidRPr="008F07F2">
        <w:rPr>
          <w:rFonts w:ascii="Times New Roman" w:hAnsi="Times New Roman" w:cs="Times New Roman"/>
        </w:rPr>
        <w:t xml:space="preserve">s waters.”  </w:t>
      </w:r>
      <w:r w:rsidRPr="008F07F2">
        <w:rPr>
          <w:rFonts w:ascii="Times New Roman" w:hAnsi="Times New Roman" w:cs="Times New Roman"/>
          <w:i/>
        </w:rPr>
        <w:t>Kentucky Waterways All. v. Johnson</w:t>
      </w:r>
      <w:r w:rsidRPr="008F07F2">
        <w:rPr>
          <w:rFonts w:ascii="Times New Roman" w:hAnsi="Times New Roman" w:cs="Times New Roman"/>
        </w:rPr>
        <w:t>, 540 F.3d 466, 471 (6th Cir. 2008)</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\l "</w:instrText>
      </w:r>
      <w:r w:rsidR="009A5F7F" w:rsidRPr="008F07F2">
        <w:rPr>
          <w:rFonts w:ascii="Times New Roman" w:hAnsi="Times New Roman" w:cs="Times New Roman"/>
          <w:i/>
        </w:rPr>
        <w:instrText>Kentucky Waterways All. v. Johnson</w:instrText>
      </w:r>
      <w:r w:rsidR="009A5F7F" w:rsidRPr="008F07F2">
        <w:rPr>
          <w:rFonts w:ascii="Times New Roman" w:hAnsi="Times New Roman" w:cs="Times New Roman"/>
        </w:rPr>
        <w:instrText xml:space="preserve">, 540 F.3d 466 (6th Cir. 2008)" \s "Kentucky Waterways" \c 1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w:t>
      </w:r>
    </w:p>
    <w:p w14:paraId="678F7495" w14:textId="1E06A8ED" w:rsidR="000E5CB8" w:rsidRPr="008F07F2" w:rsidRDefault="000E5CB8" w:rsidP="003D51EB">
      <w:pPr>
        <w:rPr>
          <w:rFonts w:ascii="Times New Roman" w:hAnsi="Times New Roman" w:cs="Times New Roman"/>
        </w:rPr>
      </w:pPr>
      <w:r w:rsidRPr="008F07F2">
        <w:rPr>
          <w:rFonts w:ascii="Times New Roman" w:hAnsi="Times New Roman" w:cs="Times New Roman"/>
        </w:rPr>
        <w:t>The regulation</w:t>
      </w:r>
      <w:r w:rsidR="00456E2C" w:rsidRPr="008F07F2">
        <w:rPr>
          <w:rFonts w:ascii="Times New Roman" w:hAnsi="Times New Roman" w:cs="Times New Roman"/>
        </w:rPr>
        <w:t>s then designate</w:t>
      </w:r>
      <w:r w:rsidRPr="008F07F2">
        <w:rPr>
          <w:rFonts w:ascii="Times New Roman" w:hAnsi="Times New Roman" w:cs="Times New Roman"/>
        </w:rPr>
        <w:t xml:space="preserve"> “Tier II waters”—i.e. waters in which “the quality of the waters exceed levels necessary to support propagation of fish, shellfish, and wildlife and recreation in and on the water.”  </w:t>
      </w:r>
      <w:r w:rsidRPr="008F07F2">
        <w:rPr>
          <w:rFonts w:ascii="Times New Roman" w:hAnsi="Times New Roman" w:cs="Times New Roman"/>
          <w:i/>
        </w:rPr>
        <w:t>Id</w:t>
      </w:r>
      <w:r w:rsidRPr="008F07F2">
        <w:rPr>
          <w:rFonts w:ascii="Times New Roman" w:hAnsi="Times New Roman" w:cs="Times New Roman"/>
        </w:rPr>
        <w:t>.; 40 C.F.R. § 131.12(a)(2)</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\l "40 C.F.R. § 131.12(a)(2)" \s "131.12(a)(2)" \c 6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In other words, “Tier </w:t>
      </w:r>
      <w:r w:rsidR="00456E2C" w:rsidRPr="008F07F2">
        <w:rPr>
          <w:rFonts w:ascii="Times New Roman" w:hAnsi="Times New Roman" w:cs="Times New Roman"/>
        </w:rPr>
        <w:t>II waters” already exceed CWA § </w:t>
      </w:r>
      <w:r w:rsidRPr="008F07F2">
        <w:rPr>
          <w:rFonts w:ascii="Times New Roman" w:hAnsi="Times New Roman" w:cs="Times New Roman"/>
        </w:rPr>
        <w:t xml:space="preserve">101(a)(2) goals.  </w:t>
      </w:r>
      <w:r w:rsidR="00396202" w:rsidRPr="008F07F2">
        <w:rPr>
          <w:rFonts w:ascii="Times New Roman" w:hAnsi="Times New Roman" w:cs="Times New Roman"/>
        </w:rPr>
        <w:t>Federal regulations allow</w:t>
      </w:r>
      <w:r w:rsidRPr="008F07F2">
        <w:rPr>
          <w:rFonts w:ascii="Times New Roman" w:hAnsi="Times New Roman" w:cs="Times New Roman"/>
        </w:rPr>
        <w:t xml:space="preserve"> the quality of such waters </w:t>
      </w:r>
      <w:r w:rsidR="00396202" w:rsidRPr="008F07F2">
        <w:rPr>
          <w:rFonts w:ascii="Times New Roman" w:hAnsi="Times New Roman" w:cs="Times New Roman"/>
        </w:rPr>
        <w:t>to</w:t>
      </w:r>
      <w:r w:rsidRPr="008F07F2">
        <w:rPr>
          <w:rFonts w:ascii="Times New Roman" w:hAnsi="Times New Roman" w:cs="Times New Roman"/>
        </w:rPr>
        <w:t xml:space="preserve"> be reduced under certain very limited circumstances where doing so would benefit social or economic development</w:t>
      </w:r>
      <w:r w:rsidR="00396202" w:rsidRPr="008F07F2">
        <w:rPr>
          <w:rFonts w:ascii="Times New Roman" w:hAnsi="Times New Roman" w:cs="Times New Roman"/>
        </w:rPr>
        <w:t>, while requiring that</w:t>
      </w:r>
      <w:r w:rsidRPr="008F07F2">
        <w:rPr>
          <w:rFonts w:ascii="Times New Roman" w:hAnsi="Times New Roman" w:cs="Times New Roman"/>
        </w:rPr>
        <w:t xml:space="preserve"> “</w:t>
      </w:r>
      <w:r w:rsidR="00396202" w:rsidRPr="008F07F2">
        <w:rPr>
          <w:rFonts w:ascii="Times New Roman" w:hAnsi="Times New Roman" w:cs="Times New Roman"/>
        </w:rPr>
        <w:t>[i]</w:t>
      </w:r>
      <w:r w:rsidRPr="008F07F2">
        <w:rPr>
          <w:rFonts w:ascii="Times New Roman" w:hAnsi="Times New Roman" w:cs="Times New Roman"/>
        </w:rPr>
        <w:t>n allowing such degradation or lower water quality, the State shall assure water quality adequate to protect existing uses fully.”  40 C.F.R. § 131.12(a)(2)</w:t>
      </w:r>
      <w:r w:rsidR="00C04E53" w:rsidRPr="008F07F2">
        <w:rPr>
          <w:rFonts w:ascii="Times New Roman" w:hAnsi="Times New Roman" w:cs="Times New Roman"/>
        </w:rPr>
        <w:fldChar w:fldCharType="begin"/>
      </w:r>
      <w:r w:rsidR="00C04E53" w:rsidRPr="008F07F2">
        <w:rPr>
          <w:rFonts w:ascii="Times New Roman" w:hAnsi="Times New Roman" w:cs="Times New Roman"/>
        </w:rPr>
        <w:instrText xml:space="preserve"> TA \l "40 C.F.R. § 131.12(a)(2)" \s "131.12(a)(2)" \c 6 </w:instrText>
      </w:r>
      <w:r w:rsidR="00C04E53" w:rsidRPr="008F07F2">
        <w:rPr>
          <w:rFonts w:ascii="Times New Roman" w:hAnsi="Times New Roman" w:cs="Times New Roman"/>
        </w:rPr>
        <w:fldChar w:fldCharType="end"/>
      </w:r>
      <w:r w:rsidR="008E6286" w:rsidRPr="008F07F2">
        <w:rPr>
          <w:rFonts w:ascii="Times New Roman" w:hAnsi="Times New Roman" w:cs="Times New Roman"/>
        </w:rPr>
        <w:t xml:space="preserve"> (emphasis added)</w:t>
      </w:r>
      <w:r w:rsidRPr="008F07F2">
        <w:rPr>
          <w:rFonts w:ascii="Times New Roman" w:hAnsi="Times New Roman" w:cs="Times New Roman"/>
        </w:rPr>
        <w:t xml:space="preserve">.  </w:t>
      </w:r>
      <w:r w:rsidRPr="008F07F2">
        <w:rPr>
          <w:rFonts w:ascii="Times New Roman" w:hAnsi="Times New Roman" w:cs="Times New Roman"/>
        </w:rPr>
        <w:lastRenderedPageBreak/>
        <w:t xml:space="preserve">In other words, even in </w:t>
      </w:r>
      <w:r w:rsidR="00396202" w:rsidRPr="008F07F2">
        <w:rPr>
          <w:rFonts w:ascii="Times New Roman" w:hAnsi="Times New Roman" w:cs="Times New Roman"/>
        </w:rPr>
        <w:t>under</w:t>
      </w:r>
      <w:r w:rsidRPr="008F07F2">
        <w:rPr>
          <w:rFonts w:ascii="Times New Roman" w:hAnsi="Times New Roman" w:cs="Times New Roman"/>
        </w:rPr>
        <w:t xml:space="preserve"> limited circumstances where existing water quality can be reduced, that reduction must fully protect existing uses.</w:t>
      </w:r>
      <w:r w:rsidR="00B22EF9" w:rsidRPr="008F07F2">
        <w:rPr>
          <w:rStyle w:val="FootnoteReference"/>
          <w:rFonts w:ascii="Times New Roman" w:hAnsi="Times New Roman" w:cs="Times New Roman"/>
        </w:rPr>
        <w:footnoteReference w:id="6"/>
      </w:r>
      <w:r w:rsidRPr="008F07F2">
        <w:rPr>
          <w:rFonts w:ascii="Times New Roman" w:hAnsi="Times New Roman" w:cs="Times New Roman"/>
        </w:rPr>
        <w:t xml:space="preserve"> </w:t>
      </w:r>
    </w:p>
    <w:p w14:paraId="0578562B" w14:textId="77777777" w:rsidR="00983D0F" w:rsidRPr="008F07F2" w:rsidRDefault="00396202" w:rsidP="003D51EB">
      <w:pPr>
        <w:rPr>
          <w:rFonts w:ascii="Times New Roman" w:hAnsi="Times New Roman" w:cs="Times New Roman"/>
        </w:rPr>
      </w:pPr>
      <w:r w:rsidRPr="008F07F2">
        <w:rPr>
          <w:rFonts w:ascii="Times New Roman" w:hAnsi="Times New Roman" w:cs="Times New Roman"/>
        </w:rPr>
        <w:t>ANR acknowledges this construction of § 131.12(a)(2)</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"131.12(a)(2)" </w:instrText>
      </w:r>
      <w:r w:rsidR="009A5F7F" w:rsidRPr="008F07F2">
        <w:rPr>
          <w:rFonts w:ascii="Times New Roman" w:hAnsi="Times New Roman" w:cs="Times New Roman"/>
        </w:rPr>
        <w:fldChar w:fldCharType="end"/>
      </w:r>
      <w:r w:rsidRPr="008F07F2">
        <w:rPr>
          <w:rFonts w:ascii="Times New Roman" w:hAnsi="Times New Roman" w:cs="Times New Roman"/>
        </w:rPr>
        <w:t>, see ANR Brief at 23, but then argue</w:t>
      </w:r>
      <w:r w:rsidR="00F8656A" w:rsidRPr="008F07F2">
        <w:rPr>
          <w:rFonts w:ascii="Times New Roman" w:hAnsi="Times New Roman" w:cs="Times New Roman"/>
        </w:rPr>
        <w:t>s</w:t>
      </w:r>
      <w:r w:rsidRPr="008F07F2">
        <w:rPr>
          <w:rFonts w:ascii="Times New Roman" w:hAnsi="Times New Roman" w:cs="Times New Roman"/>
        </w:rPr>
        <w:t xml:space="preserve"> that the existing conditions support</w:t>
      </w:r>
      <w:r w:rsidR="00F8656A" w:rsidRPr="008F07F2">
        <w:rPr>
          <w:rFonts w:ascii="Times New Roman" w:hAnsi="Times New Roman" w:cs="Times New Roman"/>
        </w:rPr>
        <w:t>ing</w:t>
      </w:r>
      <w:r w:rsidRPr="008F07F2">
        <w:rPr>
          <w:rFonts w:ascii="Times New Roman" w:hAnsi="Times New Roman" w:cs="Times New Roman"/>
        </w:rPr>
        <w:t xml:space="preserve"> whitewater boating can be limited or eliminated, </w:t>
      </w:r>
      <w:r w:rsidRPr="008F07F2">
        <w:rPr>
          <w:rFonts w:ascii="Times New Roman" w:hAnsi="Times New Roman" w:cs="Times New Roman"/>
          <w:i/>
        </w:rPr>
        <w:t>Id</w:t>
      </w:r>
      <w:r w:rsidRPr="008F07F2">
        <w:rPr>
          <w:rFonts w:ascii="Times New Roman" w:hAnsi="Times New Roman" w:cs="Times New Roman"/>
        </w:rPr>
        <w:t xml:space="preserve">. </w:t>
      </w:r>
      <w:r w:rsidR="009D3251" w:rsidRPr="008F07F2">
        <w:rPr>
          <w:rFonts w:ascii="Times New Roman" w:hAnsi="Times New Roman" w:cs="Times New Roman"/>
        </w:rPr>
        <w:t>at 25</w:t>
      </w:r>
      <w:r w:rsidRPr="008F07F2">
        <w:rPr>
          <w:rFonts w:ascii="Times New Roman" w:hAnsi="Times New Roman" w:cs="Times New Roman"/>
        </w:rPr>
        <w:t xml:space="preserve">–26.  </w:t>
      </w:r>
      <w:r w:rsidR="000E5CB8" w:rsidRPr="008F07F2">
        <w:rPr>
          <w:rFonts w:ascii="Times New Roman" w:hAnsi="Times New Roman" w:cs="Times New Roman"/>
        </w:rPr>
        <w:t>This construction i</w:t>
      </w:r>
      <w:r w:rsidR="00983D0F" w:rsidRPr="008F07F2">
        <w:rPr>
          <w:rFonts w:ascii="Times New Roman" w:hAnsi="Times New Roman" w:cs="Times New Roman"/>
        </w:rPr>
        <w:t>s not entitled to any deference</w:t>
      </w:r>
      <w:r w:rsidR="000E5CB8" w:rsidRPr="008F07F2">
        <w:rPr>
          <w:rFonts w:ascii="Times New Roman" w:hAnsi="Times New Roman" w:cs="Times New Roman"/>
        </w:rPr>
        <w:t xml:space="preserve"> and contradicts the </w:t>
      </w:r>
      <w:r w:rsidR="00983D0F" w:rsidRPr="008F07F2">
        <w:rPr>
          <w:rFonts w:ascii="Times New Roman" w:hAnsi="Times New Roman" w:cs="Times New Roman"/>
        </w:rPr>
        <w:t>express</w:t>
      </w:r>
      <w:r w:rsidR="000E5CB8" w:rsidRPr="008F07F2">
        <w:rPr>
          <w:rFonts w:ascii="Times New Roman" w:hAnsi="Times New Roman" w:cs="Times New Roman"/>
        </w:rPr>
        <w:t xml:space="preserve"> purpose of the regulation, whic</w:t>
      </w:r>
      <w:r w:rsidR="009D3251" w:rsidRPr="008F07F2">
        <w:rPr>
          <w:rFonts w:ascii="Times New Roman" w:hAnsi="Times New Roman" w:cs="Times New Roman"/>
        </w:rPr>
        <w:t>h is to protect existing uses</w:t>
      </w:r>
      <w:r w:rsidR="000E5CB8" w:rsidRPr="008F07F2">
        <w:rPr>
          <w:rFonts w:ascii="Times New Roman" w:hAnsi="Times New Roman" w:cs="Times New Roman"/>
        </w:rPr>
        <w:t xml:space="preserve">.  </w:t>
      </w:r>
    </w:p>
    <w:p w14:paraId="748E6185" w14:textId="77777777" w:rsidR="000E5CB8" w:rsidRPr="008F07F2" w:rsidRDefault="009D3251" w:rsidP="003D51EB">
      <w:pPr>
        <w:rPr>
          <w:rFonts w:ascii="Times New Roman" w:hAnsi="Times New Roman" w:cs="Times New Roman"/>
        </w:rPr>
      </w:pPr>
      <w:r w:rsidRPr="008F07F2">
        <w:rPr>
          <w:rFonts w:ascii="Times New Roman" w:hAnsi="Times New Roman" w:cs="Times New Roman"/>
        </w:rPr>
        <w:t xml:space="preserve">What ANR fails to note is that § </w:t>
      </w:r>
      <w:r w:rsidR="000E5CB8" w:rsidRPr="008F07F2">
        <w:rPr>
          <w:rFonts w:ascii="Times New Roman" w:hAnsi="Times New Roman" w:cs="Times New Roman"/>
        </w:rPr>
        <w:t>131.12</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"131.12" </w:instrText>
      </w:r>
      <w:r w:rsidR="009A5F7F" w:rsidRPr="008F07F2">
        <w:rPr>
          <w:rFonts w:ascii="Times New Roman" w:hAnsi="Times New Roman" w:cs="Times New Roman"/>
        </w:rPr>
        <w:fldChar w:fldCharType="end"/>
      </w:r>
      <w:r w:rsidR="000E5CB8" w:rsidRPr="008F07F2">
        <w:rPr>
          <w:rFonts w:ascii="Times New Roman" w:hAnsi="Times New Roman" w:cs="Times New Roman"/>
        </w:rPr>
        <w:t xml:space="preserve"> is silent regarding designated uses because it is not meant to regulate or protect </w:t>
      </w:r>
      <w:r w:rsidR="00983D0F" w:rsidRPr="008F07F2">
        <w:rPr>
          <w:rFonts w:ascii="Times New Roman" w:hAnsi="Times New Roman" w:cs="Times New Roman"/>
        </w:rPr>
        <w:t>them</w:t>
      </w:r>
      <w:r w:rsidR="000E5CB8" w:rsidRPr="008F07F2">
        <w:rPr>
          <w:rFonts w:ascii="Times New Roman" w:hAnsi="Times New Roman" w:cs="Times New Roman"/>
        </w:rPr>
        <w:t xml:space="preserve">.  </w:t>
      </w:r>
      <w:r w:rsidRPr="008F07F2">
        <w:rPr>
          <w:rFonts w:ascii="Times New Roman" w:hAnsi="Times New Roman" w:cs="Times New Roman"/>
        </w:rPr>
        <w:t>T</w:t>
      </w:r>
      <w:r w:rsidR="00983D0F" w:rsidRPr="008F07F2">
        <w:rPr>
          <w:rFonts w:ascii="Times New Roman" w:hAnsi="Times New Roman" w:cs="Times New Roman"/>
        </w:rPr>
        <w:t>his section</w:t>
      </w:r>
      <w:r w:rsidR="00456E2C" w:rsidRPr="008F07F2">
        <w:rPr>
          <w:rFonts w:ascii="Times New Roman" w:hAnsi="Times New Roman" w:cs="Times New Roman"/>
        </w:rPr>
        <w:t xml:space="preserve"> does not </w:t>
      </w:r>
      <w:r w:rsidR="000E5CB8" w:rsidRPr="008F07F2">
        <w:rPr>
          <w:rFonts w:ascii="Times New Roman" w:hAnsi="Times New Roman" w:cs="Times New Roman"/>
        </w:rPr>
        <w:t xml:space="preserve">need to provide safeguards against the degradation of designated uses, because </w:t>
      </w:r>
      <w:r w:rsidR="00983D0F" w:rsidRPr="008F07F2">
        <w:rPr>
          <w:rFonts w:ascii="Times New Roman" w:hAnsi="Times New Roman" w:cs="Times New Roman"/>
        </w:rPr>
        <w:t xml:space="preserve">a separate provision of </w:t>
      </w:r>
      <w:r w:rsidR="00456E2C" w:rsidRPr="008F07F2">
        <w:rPr>
          <w:rFonts w:ascii="Times New Roman" w:hAnsi="Times New Roman" w:cs="Times New Roman"/>
        </w:rPr>
        <w:t>the regulations require</w:t>
      </w:r>
      <w:r w:rsidR="00983D0F" w:rsidRPr="008F07F2">
        <w:rPr>
          <w:rFonts w:ascii="Times New Roman" w:hAnsi="Times New Roman" w:cs="Times New Roman"/>
        </w:rPr>
        <w:t>s</w:t>
      </w:r>
      <w:r w:rsidR="00456E2C" w:rsidRPr="008F07F2">
        <w:rPr>
          <w:rFonts w:ascii="Times New Roman" w:hAnsi="Times New Roman" w:cs="Times New Roman"/>
        </w:rPr>
        <w:t xml:space="preserve"> states to establish </w:t>
      </w:r>
      <w:r w:rsidR="000E5CB8" w:rsidRPr="008F07F2">
        <w:rPr>
          <w:rFonts w:ascii="Times New Roman" w:hAnsi="Times New Roman" w:cs="Times New Roman"/>
        </w:rPr>
        <w:t xml:space="preserve">specific criteria to </w:t>
      </w:r>
      <w:r w:rsidR="00456E2C" w:rsidRPr="008F07F2">
        <w:rPr>
          <w:rFonts w:ascii="Times New Roman" w:hAnsi="Times New Roman" w:cs="Times New Roman"/>
        </w:rPr>
        <w:t>protect designated uses</w:t>
      </w:r>
      <w:r w:rsidR="000E5CB8" w:rsidRPr="008F07F2">
        <w:rPr>
          <w:rFonts w:ascii="Times New Roman" w:hAnsi="Times New Roman" w:cs="Times New Roman"/>
        </w:rPr>
        <w:t>.  40 C.F.R. § 131.11(a)(1)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"131.11(a)(1)" </w:instrText>
      </w:r>
      <w:r w:rsidR="009A5F7F" w:rsidRPr="008F07F2">
        <w:rPr>
          <w:rFonts w:ascii="Times New Roman" w:hAnsi="Times New Roman" w:cs="Times New Roman"/>
        </w:rPr>
        <w:fldChar w:fldCharType="end"/>
      </w:r>
      <w:r w:rsidR="000E5CB8" w:rsidRPr="008F07F2">
        <w:rPr>
          <w:rFonts w:ascii="Times New Roman" w:hAnsi="Times New Roman" w:cs="Times New Roman"/>
        </w:rPr>
        <w:t xml:space="preserve"> (“States must adopt those water quality criteria that protect . . . designated use[s].”</w:t>
      </w:r>
      <w:r w:rsidR="008E6286" w:rsidRPr="008F07F2">
        <w:rPr>
          <w:rFonts w:ascii="Times New Roman" w:hAnsi="Times New Roman" w:cs="Times New Roman"/>
        </w:rPr>
        <w:t>).</w:t>
      </w:r>
    </w:p>
    <w:p w14:paraId="15402A79" w14:textId="7902F7AF" w:rsidR="000E5CB8" w:rsidRPr="008F07F2" w:rsidRDefault="009D3251" w:rsidP="003D51EB">
      <w:pPr>
        <w:rPr>
          <w:rFonts w:ascii="Times New Roman" w:hAnsi="Times New Roman" w:cs="Times New Roman"/>
        </w:rPr>
      </w:pPr>
      <w:r w:rsidRPr="008F07F2">
        <w:rPr>
          <w:rFonts w:ascii="Times New Roman" w:hAnsi="Times New Roman" w:cs="Times New Roman"/>
        </w:rPr>
        <w:t xml:space="preserve">While ANR acknowledges to some degree that federal regulations mandating minimum standards for antidegradation policies require such policies to protect existing uses, </w:t>
      </w:r>
      <w:r w:rsidR="001E00F1">
        <w:rPr>
          <w:rFonts w:ascii="Times New Roman" w:hAnsi="Times New Roman" w:cs="Times New Roman"/>
        </w:rPr>
        <w:t>ANR</w:t>
      </w:r>
      <w:r w:rsidR="001E00F1" w:rsidRPr="008F07F2">
        <w:rPr>
          <w:rFonts w:ascii="Times New Roman" w:hAnsi="Times New Roman" w:cs="Times New Roman"/>
        </w:rPr>
        <w:t xml:space="preserve"> </w:t>
      </w:r>
      <w:r w:rsidRPr="008F07F2">
        <w:rPr>
          <w:rFonts w:ascii="Times New Roman" w:hAnsi="Times New Roman" w:cs="Times New Roman"/>
        </w:rPr>
        <w:t xml:space="preserve">also attempts to undermine this requirement by interpreting other provisions in the federal regulatory scheme as qualifying or limiting the protection due to existing uses.  This construction </w:t>
      </w:r>
      <w:r w:rsidR="00456E2C" w:rsidRPr="008F07F2">
        <w:rPr>
          <w:rFonts w:ascii="Times New Roman" w:hAnsi="Times New Roman" w:cs="Times New Roman"/>
        </w:rPr>
        <w:t>contradicts the federal regulatory scheme</w:t>
      </w:r>
      <w:r w:rsidR="000E5CB8" w:rsidRPr="008F07F2">
        <w:rPr>
          <w:rFonts w:ascii="Times New Roman" w:hAnsi="Times New Roman" w:cs="Times New Roman"/>
        </w:rPr>
        <w:t xml:space="preserve"> and</w:t>
      </w:r>
      <w:r w:rsidR="00480795" w:rsidRPr="008F07F2">
        <w:rPr>
          <w:rFonts w:ascii="Times New Roman" w:hAnsi="Times New Roman" w:cs="Times New Roman"/>
        </w:rPr>
        <w:t>, as the Environmental Division properly set out in its findings and conclusions,</w:t>
      </w:r>
      <w:r w:rsidR="000E5CB8" w:rsidRPr="008F07F2">
        <w:rPr>
          <w:rFonts w:ascii="Times New Roman" w:hAnsi="Times New Roman" w:cs="Times New Roman"/>
        </w:rPr>
        <w:t xml:space="preserve"> cannot stand.  </w:t>
      </w:r>
      <w:r w:rsidR="00480795" w:rsidRPr="008F07F2">
        <w:rPr>
          <w:rFonts w:ascii="Times New Roman" w:hAnsi="Times New Roman" w:cs="Times New Roman"/>
        </w:rPr>
        <w:t>PC at 55–59.</w:t>
      </w:r>
    </w:p>
    <w:p w14:paraId="59AA20DF" w14:textId="77777777" w:rsidR="000E5CB8" w:rsidRPr="008F07F2" w:rsidRDefault="000E5CB8" w:rsidP="000B5427">
      <w:pPr>
        <w:pStyle w:val="Heading3"/>
      </w:pPr>
      <w:bookmarkStart w:id="15" w:name="_Toc535838879"/>
      <w:r w:rsidRPr="008F07F2">
        <w:lastRenderedPageBreak/>
        <w:t xml:space="preserve">ANR’s </w:t>
      </w:r>
      <w:r w:rsidR="00DD4872" w:rsidRPr="008F07F2">
        <w:t xml:space="preserve">Construction of the </w:t>
      </w:r>
      <w:r w:rsidRPr="008F07F2">
        <w:t xml:space="preserve">VWQS </w:t>
      </w:r>
      <w:r w:rsidR="00DD4872" w:rsidRPr="008F07F2">
        <w:t>Antidegradation Policy Is Not Entitled to Deference</w:t>
      </w:r>
      <w:r w:rsidRPr="008F07F2">
        <w:t>.</w:t>
      </w:r>
      <w:bookmarkEnd w:id="15"/>
      <w:r w:rsidRPr="008F07F2">
        <w:t xml:space="preserve"> </w:t>
      </w:r>
    </w:p>
    <w:p w14:paraId="6EBBFEB3" w14:textId="77777777" w:rsidR="000E5CB8" w:rsidRPr="008F07F2" w:rsidRDefault="000E5CB8" w:rsidP="003D51EB">
      <w:pPr>
        <w:rPr>
          <w:rFonts w:ascii="Times New Roman" w:hAnsi="Times New Roman" w:cs="Times New Roman"/>
        </w:rPr>
      </w:pPr>
      <w:r w:rsidRPr="008F07F2">
        <w:rPr>
          <w:rFonts w:ascii="Times New Roman" w:hAnsi="Times New Roman" w:cs="Times New Roman"/>
        </w:rPr>
        <w:t xml:space="preserve">ANR asserts that its interpretation of the antidegradation policy in the VWQS is entitled to substantial deference.  ANR Brief at 26–29.   This assertion lacks any analysis, however, of when and how courts defer to administrative agency decisions.  </w:t>
      </w:r>
      <w:r w:rsidR="00073FC6" w:rsidRPr="008F07F2">
        <w:rPr>
          <w:rFonts w:ascii="Times New Roman" w:hAnsi="Times New Roman" w:cs="Times New Roman"/>
        </w:rPr>
        <w:t>S</w:t>
      </w:r>
      <w:r w:rsidRPr="008F07F2">
        <w:rPr>
          <w:rFonts w:ascii="Times New Roman" w:hAnsi="Times New Roman" w:cs="Times New Roman"/>
        </w:rPr>
        <w:t xml:space="preserve">uch an analysis demonstrates that ANR’s interpretation of the antidegradation policy is not entitled to </w:t>
      </w:r>
      <w:r w:rsidR="00073FC6" w:rsidRPr="008F07F2">
        <w:rPr>
          <w:rFonts w:ascii="Times New Roman" w:hAnsi="Times New Roman" w:cs="Times New Roman"/>
        </w:rPr>
        <w:t xml:space="preserve">blanket </w:t>
      </w:r>
      <w:r w:rsidRPr="008F07F2">
        <w:rPr>
          <w:rFonts w:ascii="Times New Roman" w:hAnsi="Times New Roman" w:cs="Times New Roman"/>
        </w:rPr>
        <w:t xml:space="preserve">deference. </w:t>
      </w:r>
    </w:p>
    <w:p w14:paraId="3D270440" w14:textId="77777777" w:rsidR="00073FC6" w:rsidRPr="008F07F2" w:rsidRDefault="00073FC6" w:rsidP="003D51EB">
      <w:pPr>
        <w:rPr>
          <w:rFonts w:ascii="Times New Roman" w:hAnsi="Times New Roman" w:cs="Times New Roman"/>
        </w:rPr>
      </w:pPr>
      <w:r w:rsidRPr="008F07F2">
        <w:rPr>
          <w:rFonts w:ascii="Times New Roman" w:hAnsi="Times New Roman" w:cs="Times New Roman"/>
        </w:rPr>
        <w:t xml:space="preserve">As set out in the Standard of Review above, an agency interpretation of its regulation that is inconsistent “with the purposes of the act under which the regulation is made” is not entitled to deference.  </w:t>
      </w:r>
      <w:r w:rsidRPr="008F07F2">
        <w:rPr>
          <w:rFonts w:ascii="Times New Roman" w:hAnsi="Times New Roman" w:cs="Times New Roman"/>
          <w:i/>
        </w:rPr>
        <w:t>Huntington</w:t>
      </w:r>
      <w:r w:rsidR="00D03FB1" w:rsidRPr="008F07F2">
        <w:rPr>
          <w:rFonts w:ascii="Times New Roman" w:hAnsi="Times New Roman" w:cs="Times New Roman"/>
          <w:i/>
        </w:rPr>
        <w:fldChar w:fldCharType="begin"/>
      </w:r>
      <w:r w:rsidR="00D03FB1" w:rsidRPr="008F07F2">
        <w:rPr>
          <w:rFonts w:ascii="Times New Roman" w:hAnsi="Times New Roman" w:cs="Times New Roman"/>
          <w:i/>
        </w:rPr>
        <w:instrText xml:space="preserve"> TA \s "Huntington" </w:instrText>
      </w:r>
      <w:r w:rsidR="00D03FB1" w:rsidRPr="008F07F2">
        <w:rPr>
          <w:rFonts w:ascii="Times New Roman" w:hAnsi="Times New Roman" w:cs="Times New Roman"/>
          <w:i/>
        </w:rPr>
        <w:fldChar w:fldCharType="end"/>
      </w:r>
      <w:r w:rsidRPr="008F07F2">
        <w:rPr>
          <w:rFonts w:ascii="Times New Roman" w:hAnsi="Times New Roman" w:cs="Times New Roman"/>
        </w:rPr>
        <w:t xml:space="preserve">, 139 Vt. </w:t>
      </w:r>
      <w:r w:rsidR="009A5F7F" w:rsidRPr="008F07F2">
        <w:rPr>
          <w:rFonts w:ascii="Times New Roman" w:hAnsi="Times New Roman" w:cs="Times New Roman"/>
        </w:rPr>
        <w:t>at</w:t>
      </w:r>
      <w:r w:rsidRPr="008F07F2">
        <w:rPr>
          <w:rFonts w:ascii="Times New Roman" w:hAnsi="Times New Roman" w:cs="Times New Roman"/>
        </w:rPr>
        <w:t xml:space="preserve"> 419.  </w:t>
      </w:r>
    </w:p>
    <w:p w14:paraId="1CDAE265" w14:textId="11602E0D" w:rsidR="000E5CB8" w:rsidRPr="008F07F2" w:rsidRDefault="000E5CB8" w:rsidP="003D51EB">
      <w:pPr>
        <w:rPr>
          <w:rFonts w:ascii="Times New Roman" w:hAnsi="Times New Roman" w:cs="Times New Roman"/>
        </w:rPr>
      </w:pPr>
      <w:r w:rsidRPr="008F07F2">
        <w:rPr>
          <w:rFonts w:ascii="Times New Roman" w:hAnsi="Times New Roman" w:cs="Times New Roman"/>
        </w:rPr>
        <w:t>ANR’s interpretation of the VWQS antidegradation policy rests on the erroneous assumption</w:t>
      </w:r>
      <w:r w:rsidR="00CE1F2B" w:rsidRPr="008F07F2">
        <w:rPr>
          <w:rFonts w:ascii="Times New Roman" w:hAnsi="Times New Roman" w:cs="Times New Roman"/>
        </w:rPr>
        <w:t>s</w:t>
      </w:r>
      <w:r w:rsidRPr="008F07F2">
        <w:rPr>
          <w:rFonts w:ascii="Times New Roman" w:hAnsi="Times New Roman" w:cs="Times New Roman"/>
        </w:rPr>
        <w:t xml:space="preserve"> that the federal regulatory scheme from which it stems allows it to (1) prioritize sensitive designated uses at the expense of existing uses under 40 C.F.R. § 131.11</w:t>
      </w:r>
      <w:r w:rsidR="009A5F7F" w:rsidRPr="008F07F2">
        <w:rPr>
          <w:rFonts w:ascii="Times New Roman" w:hAnsi="Times New Roman" w:cs="Times New Roman"/>
        </w:rPr>
        <w:t xml:space="preserve"> </w:t>
      </w:r>
      <w:r w:rsidRPr="008F07F2">
        <w:rPr>
          <w:rFonts w:ascii="Times New Roman" w:hAnsi="Times New Roman" w:cs="Times New Roman"/>
        </w:rPr>
        <w:t>(a)(1)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"131.11(a)(1)" </w:instrText>
      </w:r>
      <w:r w:rsidR="009A5F7F" w:rsidRPr="008F07F2">
        <w:rPr>
          <w:rFonts w:ascii="Times New Roman" w:hAnsi="Times New Roman" w:cs="Times New Roman"/>
        </w:rPr>
        <w:fldChar w:fldCharType="end"/>
      </w:r>
      <w:r w:rsidRPr="008F07F2">
        <w:rPr>
          <w:rFonts w:ascii="Times New Roman" w:hAnsi="Times New Roman" w:cs="Times New Roman"/>
        </w:rPr>
        <w:t>; (2) remove existing uses under 40 C.F.R. § 131.10</w:t>
      </w:r>
      <w:r w:rsidR="009A5F7F" w:rsidRPr="008F07F2">
        <w:rPr>
          <w:rFonts w:ascii="Times New Roman" w:hAnsi="Times New Roman" w:cs="Times New Roman"/>
        </w:rPr>
        <w:t xml:space="preserve"> </w:t>
      </w:r>
      <w:r w:rsidRPr="008F07F2">
        <w:rPr>
          <w:rFonts w:ascii="Times New Roman" w:hAnsi="Times New Roman" w:cs="Times New Roman"/>
        </w:rPr>
        <w:t>(h)(1)</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"131.10(h)(1)" </w:instrText>
      </w:r>
      <w:r w:rsidR="009A5F7F" w:rsidRPr="008F07F2">
        <w:rPr>
          <w:rFonts w:ascii="Times New Roman" w:hAnsi="Times New Roman" w:cs="Times New Roman"/>
        </w:rPr>
        <w:fldChar w:fldCharType="end"/>
      </w:r>
      <w:r w:rsidRPr="008F07F2">
        <w:rPr>
          <w:rFonts w:ascii="Times New Roman" w:hAnsi="Times New Roman" w:cs="Times New Roman"/>
        </w:rPr>
        <w:t>; and (3) eliminate or limit an existing use at the expense of a designated use under 40 C.F.R. § 131.12</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"131.12" </w:instrText>
      </w:r>
      <w:r w:rsidR="009A5F7F" w:rsidRPr="008F07F2">
        <w:rPr>
          <w:rFonts w:ascii="Times New Roman" w:hAnsi="Times New Roman" w:cs="Times New Roman"/>
        </w:rPr>
        <w:fldChar w:fldCharType="end"/>
      </w:r>
      <w:r w:rsidRPr="008F07F2">
        <w:rPr>
          <w:rFonts w:ascii="Times New Roman" w:hAnsi="Times New Roman" w:cs="Times New Roman"/>
        </w:rPr>
        <w:t xml:space="preserve">.  For the reasons set out above, ANR misconstrues </w:t>
      </w:r>
      <w:proofErr w:type="gramStart"/>
      <w:r w:rsidRPr="008F07F2">
        <w:rPr>
          <w:rFonts w:ascii="Times New Roman" w:hAnsi="Times New Roman" w:cs="Times New Roman"/>
        </w:rPr>
        <w:t>all of</w:t>
      </w:r>
      <w:proofErr w:type="gramEnd"/>
      <w:r w:rsidRPr="008F07F2">
        <w:rPr>
          <w:rFonts w:ascii="Times New Roman" w:hAnsi="Times New Roman" w:cs="Times New Roman"/>
        </w:rPr>
        <w:t xml:space="preserve"> these provisions.</w:t>
      </w:r>
      <w:r w:rsidR="00C449E0" w:rsidRPr="008F07F2">
        <w:rPr>
          <w:rStyle w:val="FootnoteReference"/>
          <w:rFonts w:ascii="Times New Roman" w:hAnsi="Times New Roman" w:cs="Times New Roman"/>
        </w:rPr>
        <w:footnoteReference w:id="7"/>
      </w:r>
      <w:r w:rsidRPr="008F07F2">
        <w:rPr>
          <w:rFonts w:ascii="Times New Roman" w:hAnsi="Times New Roman" w:cs="Times New Roman"/>
        </w:rPr>
        <w:t xml:space="preserve">  </w:t>
      </w:r>
      <w:r w:rsidR="00073FC6" w:rsidRPr="008F07F2">
        <w:rPr>
          <w:rFonts w:ascii="Times New Roman" w:hAnsi="Times New Roman" w:cs="Times New Roman"/>
        </w:rPr>
        <w:t>To the extent that</w:t>
      </w:r>
      <w:r w:rsidRPr="008F07F2">
        <w:rPr>
          <w:rFonts w:ascii="Times New Roman" w:hAnsi="Times New Roman" w:cs="Times New Roman"/>
        </w:rPr>
        <w:t xml:space="preserve"> ANR’s interpretation of the VWQS conflicts with or contradicts these provisions based on this misconstruction, </w:t>
      </w:r>
      <w:r w:rsidR="00436B89">
        <w:rPr>
          <w:rFonts w:ascii="Times New Roman" w:hAnsi="Times New Roman" w:cs="Times New Roman"/>
        </w:rPr>
        <w:t>ANR</w:t>
      </w:r>
      <w:r w:rsidRPr="008F07F2">
        <w:rPr>
          <w:rFonts w:ascii="Times New Roman" w:hAnsi="Times New Roman" w:cs="Times New Roman"/>
        </w:rPr>
        <w:t xml:space="preserve">’s interpretation is not entitled to any deference.  </w:t>
      </w:r>
    </w:p>
    <w:p w14:paraId="142BF9B0" w14:textId="15EC3209" w:rsidR="00CF3687" w:rsidRPr="008F07F2" w:rsidRDefault="00DD4872" w:rsidP="003D51EB">
      <w:pPr>
        <w:rPr>
          <w:rFonts w:ascii="Times New Roman" w:hAnsi="Times New Roman" w:cs="Times New Roman"/>
        </w:rPr>
      </w:pPr>
      <w:r w:rsidRPr="008F07F2">
        <w:rPr>
          <w:rFonts w:ascii="Times New Roman" w:hAnsi="Times New Roman" w:cs="Times New Roman"/>
        </w:rPr>
        <w:t>A</w:t>
      </w:r>
      <w:r w:rsidR="00073FC6" w:rsidRPr="008F07F2">
        <w:rPr>
          <w:rFonts w:ascii="Times New Roman" w:hAnsi="Times New Roman" w:cs="Times New Roman"/>
        </w:rPr>
        <w:t xml:space="preserve">gency interpretations derived from litigation positions or strategy are not entitled to deference.  </w:t>
      </w:r>
      <w:r w:rsidR="00073FC6" w:rsidRPr="008F07F2">
        <w:rPr>
          <w:rFonts w:ascii="Times New Roman" w:hAnsi="Times New Roman" w:cs="Times New Roman"/>
          <w:i/>
        </w:rPr>
        <w:t>Lewis</w:t>
      </w:r>
      <w:r w:rsidR="00D03FB1" w:rsidRPr="008F07F2">
        <w:rPr>
          <w:rFonts w:ascii="Times New Roman" w:hAnsi="Times New Roman" w:cs="Times New Roman"/>
        </w:rPr>
        <w:fldChar w:fldCharType="begin"/>
      </w:r>
      <w:r w:rsidR="00D03FB1" w:rsidRPr="008F07F2">
        <w:rPr>
          <w:rFonts w:ascii="Times New Roman" w:hAnsi="Times New Roman" w:cs="Times New Roman"/>
        </w:rPr>
        <w:instrText xml:space="preserve"> TA \s "Lewis" </w:instrText>
      </w:r>
      <w:r w:rsidR="00D03FB1" w:rsidRPr="008F07F2">
        <w:rPr>
          <w:rFonts w:ascii="Times New Roman" w:hAnsi="Times New Roman" w:cs="Times New Roman"/>
        </w:rPr>
        <w:fldChar w:fldCharType="end"/>
      </w:r>
      <w:r w:rsidR="00073FC6" w:rsidRPr="008F07F2">
        <w:rPr>
          <w:rFonts w:ascii="Times New Roman" w:hAnsi="Times New Roman" w:cs="Times New Roman"/>
        </w:rPr>
        <w:t xml:space="preserve">, 965 F.2d at 1220.  </w:t>
      </w:r>
      <w:r w:rsidR="00CF3687" w:rsidRPr="008F07F2">
        <w:rPr>
          <w:rFonts w:ascii="Times New Roman" w:hAnsi="Times New Roman" w:cs="Times New Roman"/>
        </w:rPr>
        <w:t xml:space="preserve">ANR’s brief cites primarily to the trial testimony of Jeff Crocker, the streamflow protection coordinator at the Department of Environmental Conservation to support its position that the VWQS antidegradation policy allows or requires </w:t>
      </w:r>
      <w:r w:rsidR="00436B89">
        <w:rPr>
          <w:rFonts w:ascii="Times New Roman" w:hAnsi="Times New Roman" w:cs="Times New Roman"/>
        </w:rPr>
        <w:t>ANR</w:t>
      </w:r>
      <w:r w:rsidR="00CF3687" w:rsidRPr="008F07F2">
        <w:rPr>
          <w:rFonts w:ascii="Times New Roman" w:hAnsi="Times New Roman" w:cs="Times New Roman"/>
        </w:rPr>
        <w:t xml:space="preserve"> to limit or </w:t>
      </w:r>
      <w:r w:rsidR="00CF3687" w:rsidRPr="008F07F2">
        <w:rPr>
          <w:rFonts w:ascii="Times New Roman" w:hAnsi="Times New Roman" w:cs="Times New Roman"/>
        </w:rPr>
        <w:lastRenderedPageBreak/>
        <w:t>eliminate an existing use in order to support a sensitive designated use.  ANR Brief at 27; Tr. (04-09-2018), at 81, 97, 99–100, 103.</w:t>
      </w:r>
      <w:r w:rsidR="00C449E0" w:rsidRPr="008F07F2">
        <w:rPr>
          <w:rStyle w:val="FootnoteReference"/>
          <w:rFonts w:ascii="Times New Roman" w:hAnsi="Times New Roman" w:cs="Times New Roman"/>
        </w:rPr>
        <w:footnoteReference w:id="8"/>
      </w:r>
      <w:r w:rsidR="00CF3687" w:rsidRPr="008F07F2">
        <w:rPr>
          <w:rFonts w:ascii="Times New Roman" w:hAnsi="Times New Roman" w:cs="Times New Roman"/>
        </w:rPr>
        <w:t xml:space="preserve">  The interpretation of a single agency staff member is not the product of any process, however, and therefore deserves no deference.  See PC 27–28 (Environmental Division decision referring to Mr. Crocker’s interpretations as “professional judgment” not entitled to deference). </w:t>
      </w:r>
      <w:r w:rsidRPr="008F07F2">
        <w:rPr>
          <w:rFonts w:ascii="Times New Roman" w:hAnsi="Times New Roman" w:cs="Times New Roman"/>
        </w:rPr>
        <w:t xml:space="preserve"> </w:t>
      </w:r>
    </w:p>
    <w:p w14:paraId="761682DE" w14:textId="77777777" w:rsidR="00DD4872" w:rsidRPr="008F07F2" w:rsidRDefault="00DD4872" w:rsidP="003D51EB">
      <w:pPr>
        <w:rPr>
          <w:rFonts w:ascii="Times New Roman" w:hAnsi="Times New Roman" w:cs="Times New Roman"/>
        </w:rPr>
      </w:pPr>
      <w:r w:rsidRPr="008F07F2">
        <w:rPr>
          <w:rFonts w:ascii="Times New Roman" w:hAnsi="Times New Roman" w:cs="Times New Roman"/>
        </w:rPr>
        <w:t xml:space="preserve">Deferring to an Agency position expressed through an Agency witness at trial would also undermine the de novo review standard. </w:t>
      </w:r>
    </w:p>
    <w:p w14:paraId="58A765C0" w14:textId="6DA209F1" w:rsidR="00C60268" w:rsidRPr="008F07F2" w:rsidRDefault="000E5CB8" w:rsidP="003D51EB">
      <w:pPr>
        <w:rPr>
          <w:rFonts w:ascii="Times New Roman" w:hAnsi="Times New Roman" w:cs="Times New Roman"/>
        </w:rPr>
      </w:pPr>
      <w:r w:rsidRPr="008F07F2">
        <w:rPr>
          <w:rFonts w:ascii="Times New Roman" w:hAnsi="Times New Roman" w:cs="Times New Roman"/>
        </w:rPr>
        <w:t xml:space="preserve">Furthermore, </w:t>
      </w:r>
      <w:r w:rsidR="00CF3687" w:rsidRPr="008F07F2">
        <w:rPr>
          <w:rFonts w:ascii="Times New Roman" w:hAnsi="Times New Roman" w:cs="Times New Roman"/>
        </w:rPr>
        <w:t xml:space="preserve">no deference is due where an Agency interpretation conflicts with a prior or more considered Agency view.  See </w:t>
      </w:r>
      <w:r w:rsidR="00CF3687" w:rsidRPr="008F07F2">
        <w:rPr>
          <w:rFonts w:ascii="Times New Roman" w:hAnsi="Times New Roman" w:cs="Times New Roman"/>
          <w:i/>
        </w:rPr>
        <w:t>I.N.S.</w:t>
      </w:r>
      <w:r w:rsidR="00D03FB1" w:rsidRPr="008F07F2">
        <w:rPr>
          <w:rFonts w:ascii="Times New Roman" w:hAnsi="Times New Roman" w:cs="Times New Roman"/>
          <w:i/>
        </w:rPr>
        <w:fldChar w:fldCharType="begin"/>
      </w:r>
      <w:r w:rsidR="00D03FB1" w:rsidRPr="008F07F2">
        <w:rPr>
          <w:rFonts w:ascii="Times New Roman" w:hAnsi="Times New Roman" w:cs="Times New Roman"/>
          <w:i/>
        </w:rPr>
        <w:instrText xml:space="preserve"> TA \s "I.N.S." </w:instrText>
      </w:r>
      <w:r w:rsidR="00D03FB1" w:rsidRPr="008F07F2">
        <w:rPr>
          <w:rFonts w:ascii="Times New Roman" w:hAnsi="Times New Roman" w:cs="Times New Roman"/>
          <w:i/>
        </w:rPr>
        <w:fldChar w:fldCharType="end"/>
      </w:r>
      <w:r w:rsidR="00CF3687" w:rsidRPr="008F07F2">
        <w:rPr>
          <w:rFonts w:ascii="Times New Roman" w:hAnsi="Times New Roman" w:cs="Times New Roman"/>
        </w:rPr>
        <w:t>, 480 U.S. at 446 n.30.  T</w:t>
      </w:r>
      <w:r w:rsidRPr="008F07F2">
        <w:rPr>
          <w:rFonts w:ascii="Times New Roman" w:hAnsi="Times New Roman" w:cs="Times New Roman"/>
        </w:rPr>
        <w:t xml:space="preserve">he testimony cited and interpretation set out in </w:t>
      </w:r>
      <w:r w:rsidR="00436B89">
        <w:rPr>
          <w:rFonts w:ascii="Times New Roman" w:hAnsi="Times New Roman" w:cs="Times New Roman"/>
        </w:rPr>
        <w:t>ANR</w:t>
      </w:r>
      <w:r w:rsidRPr="008F07F2">
        <w:rPr>
          <w:rFonts w:ascii="Times New Roman" w:hAnsi="Times New Roman" w:cs="Times New Roman"/>
        </w:rPr>
        <w:t xml:space="preserve">’s brief contradicts ANR’s interpretation of the antidegradation policy that was developed through a </w:t>
      </w:r>
      <w:r w:rsidR="00F81F67" w:rsidRPr="008F07F2">
        <w:rPr>
          <w:rFonts w:ascii="Times New Roman" w:hAnsi="Times New Roman" w:cs="Times New Roman"/>
        </w:rPr>
        <w:t xml:space="preserve">more </w:t>
      </w:r>
      <w:r w:rsidRPr="008F07F2">
        <w:rPr>
          <w:rFonts w:ascii="Times New Roman" w:hAnsi="Times New Roman" w:cs="Times New Roman"/>
        </w:rPr>
        <w:t xml:space="preserve">formal process </w:t>
      </w:r>
      <w:r w:rsidR="00CE1F2B" w:rsidRPr="008F07F2">
        <w:rPr>
          <w:rFonts w:ascii="Times New Roman" w:hAnsi="Times New Roman" w:cs="Times New Roman"/>
        </w:rPr>
        <w:t>as</w:t>
      </w:r>
      <w:r w:rsidRPr="008F07F2">
        <w:rPr>
          <w:rFonts w:ascii="Times New Roman" w:hAnsi="Times New Roman" w:cs="Times New Roman"/>
        </w:rPr>
        <w:t xml:space="preserve"> set out in the ANR Interim Anti-Degradation</w:t>
      </w:r>
      <w:r w:rsidR="008F43FC" w:rsidRPr="008F07F2">
        <w:rPr>
          <w:rFonts w:ascii="Times New Roman" w:hAnsi="Times New Roman" w:cs="Times New Roman"/>
        </w:rPr>
        <w:fldChar w:fldCharType="begin"/>
      </w:r>
      <w:r w:rsidR="008F43FC" w:rsidRPr="008F07F2">
        <w:rPr>
          <w:rFonts w:ascii="Times New Roman" w:hAnsi="Times New Roman" w:cs="Times New Roman"/>
        </w:rPr>
        <w:instrText xml:space="preserve"> TA \s "ANR Interim Anti-Degradation" </w:instrText>
      </w:r>
      <w:r w:rsidR="008F43FC" w:rsidRPr="008F07F2">
        <w:rPr>
          <w:rFonts w:ascii="Times New Roman" w:hAnsi="Times New Roman" w:cs="Times New Roman"/>
        </w:rPr>
        <w:fldChar w:fldCharType="end"/>
      </w:r>
      <w:r w:rsidRPr="008F07F2">
        <w:rPr>
          <w:rFonts w:ascii="Times New Roman" w:hAnsi="Times New Roman" w:cs="Times New Roman"/>
        </w:rPr>
        <w:t xml:space="preserve"> Implementation Procedure.</w:t>
      </w:r>
      <w:r w:rsidR="00F81F67" w:rsidRPr="008F07F2">
        <w:rPr>
          <w:rFonts w:ascii="Times New Roman" w:hAnsi="Times New Roman" w:cs="Times New Roman"/>
        </w:rPr>
        <w:t xml:space="preserve">  See 3 V.S.A. § 801(8)</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\l "3 V.S.A. § 801(8)" \s "801(8)" \c 2 </w:instrText>
      </w:r>
      <w:r w:rsidR="009A5F7F" w:rsidRPr="008F07F2">
        <w:rPr>
          <w:rFonts w:ascii="Times New Roman" w:hAnsi="Times New Roman" w:cs="Times New Roman"/>
        </w:rPr>
        <w:fldChar w:fldCharType="end"/>
      </w:r>
      <w:r w:rsidR="00F81F67" w:rsidRPr="008F07F2">
        <w:rPr>
          <w:rFonts w:ascii="Times New Roman" w:hAnsi="Times New Roman" w:cs="Times New Roman"/>
        </w:rPr>
        <w:t xml:space="preserve"> (defining “procedure” for purposes of the Vermont Administrative Procedure Act).</w:t>
      </w:r>
      <w:r w:rsidRPr="008F07F2">
        <w:rPr>
          <w:rFonts w:ascii="Times New Roman" w:hAnsi="Times New Roman" w:cs="Times New Roman"/>
        </w:rPr>
        <w:t xml:space="preserve"> </w:t>
      </w:r>
      <w:r w:rsidR="00F81F67" w:rsidRPr="008F07F2">
        <w:rPr>
          <w:rFonts w:ascii="Times New Roman" w:hAnsi="Times New Roman" w:cs="Times New Roman"/>
        </w:rPr>
        <w:t xml:space="preserve"> </w:t>
      </w:r>
      <w:r w:rsidR="00852B19" w:rsidRPr="008F07F2">
        <w:rPr>
          <w:rFonts w:ascii="Times New Roman" w:hAnsi="Times New Roman" w:cs="Times New Roman"/>
        </w:rPr>
        <w:t>The Anti-Degradation Procedure</w:t>
      </w:r>
      <w:r w:rsidR="00CE1F2B" w:rsidRPr="008F07F2">
        <w:rPr>
          <w:rFonts w:ascii="Times New Roman" w:hAnsi="Times New Roman" w:cs="Times New Roman"/>
        </w:rPr>
        <w:t xml:space="preserve">, like the corresponding </w:t>
      </w:r>
      <w:r w:rsidR="00C60268" w:rsidRPr="008F07F2">
        <w:rPr>
          <w:rFonts w:ascii="Times New Roman" w:hAnsi="Times New Roman" w:cs="Times New Roman"/>
        </w:rPr>
        <w:t xml:space="preserve">federal regulation, </w:t>
      </w:r>
      <w:r w:rsidR="00852B19" w:rsidRPr="008F07F2">
        <w:rPr>
          <w:rFonts w:ascii="Times New Roman" w:hAnsi="Times New Roman" w:cs="Times New Roman"/>
        </w:rPr>
        <w:t>includes as one of its “main elements” the</w:t>
      </w:r>
      <w:r w:rsidR="00C60268" w:rsidRPr="008F07F2">
        <w:rPr>
          <w:rFonts w:ascii="Times New Roman" w:hAnsi="Times New Roman" w:cs="Times New Roman"/>
        </w:rPr>
        <w:t xml:space="preserve"> “Determination and protection of existing uses (“Tier 1”),” and requires for Tier 1: “The existing uses of waters, and the level of water quality necessary to protect those existing uses, shall be maintained and protected.”  Anti-Degradation Procedure</w:t>
      </w:r>
      <w:r w:rsidR="009A5F7F" w:rsidRPr="008F07F2">
        <w:rPr>
          <w:rFonts w:ascii="Times New Roman" w:hAnsi="Times New Roman" w:cs="Times New Roman"/>
        </w:rPr>
        <w:fldChar w:fldCharType="begin"/>
      </w:r>
      <w:r w:rsidR="009A5F7F" w:rsidRPr="008F07F2">
        <w:rPr>
          <w:rFonts w:ascii="Times New Roman" w:hAnsi="Times New Roman" w:cs="Times New Roman"/>
        </w:rPr>
        <w:instrText xml:space="preserve"> TA \s "ANR Interim Anti-Degradation" </w:instrText>
      </w:r>
      <w:r w:rsidR="009A5F7F" w:rsidRPr="008F07F2">
        <w:rPr>
          <w:rFonts w:ascii="Times New Roman" w:hAnsi="Times New Roman" w:cs="Times New Roman"/>
        </w:rPr>
        <w:fldChar w:fldCharType="end"/>
      </w:r>
      <w:r w:rsidR="00C60268" w:rsidRPr="008F07F2">
        <w:rPr>
          <w:rFonts w:ascii="Times New Roman" w:hAnsi="Times New Roman" w:cs="Times New Roman"/>
        </w:rPr>
        <w:t xml:space="preserve"> I.A.3 and VIII.F(1), at 1, 17.  </w:t>
      </w:r>
    </w:p>
    <w:p w14:paraId="28F74E31" w14:textId="04620BE1" w:rsidR="00852B19" w:rsidRPr="008F07F2" w:rsidRDefault="00C60268" w:rsidP="003D51EB">
      <w:pPr>
        <w:rPr>
          <w:rFonts w:ascii="Times New Roman" w:hAnsi="Times New Roman" w:cs="Times New Roman"/>
        </w:rPr>
      </w:pPr>
      <w:r w:rsidRPr="008F07F2">
        <w:rPr>
          <w:rFonts w:ascii="Times New Roman" w:hAnsi="Times New Roman" w:cs="Times New Roman"/>
        </w:rPr>
        <w:t xml:space="preserve">ANR argues that the Anti-Degradation Procedure gives an existing use “independent protection” only where it requires a higher level of water quality than is necessary to protect designated uses.  </w:t>
      </w:r>
      <w:r w:rsidR="00852B19" w:rsidRPr="008F07F2">
        <w:rPr>
          <w:rFonts w:ascii="Times New Roman" w:hAnsi="Times New Roman" w:cs="Times New Roman"/>
        </w:rPr>
        <w:t xml:space="preserve">ANR Brief at 27.  This implies that an existing use which does not require a higher level of water quality than a designated use does </w:t>
      </w:r>
      <w:r w:rsidR="00DF122F" w:rsidRPr="008F07F2">
        <w:rPr>
          <w:rFonts w:ascii="Times New Roman" w:hAnsi="Times New Roman" w:cs="Times New Roman"/>
        </w:rPr>
        <w:t>not have to be protected at all</w:t>
      </w:r>
      <w:r w:rsidR="00852B19" w:rsidRPr="008F07F2">
        <w:rPr>
          <w:rFonts w:ascii="Times New Roman" w:hAnsi="Times New Roman" w:cs="Times New Roman"/>
        </w:rPr>
        <w:t xml:space="preserve"> and may</w:t>
      </w:r>
      <w:r w:rsidR="00DF122F" w:rsidRPr="008F07F2">
        <w:rPr>
          <w:rFonts w:ascii="Times New Roman" w:hAnsi="Times New Roman" w:cs="Times New Roman"/>
        </w:rPr>
        <w:t>,</w:t>
      </w:r>
      <w:r w:rsidR="00852B19" w:rsidRPr="008F07F2">
        <w:rPr>
          <w:rFonts w:ascii="Times New Roman" w:hAnsi="Times New Roman" w:cs="Times New Roman"/>
        </w:rPr>
        <w:t xml:space="preserve"> in </w:t>
      </w:r>
      <w:r w:rsidR="00852B19" w:rsidRPr="008F07F2">
        <w:rPr>
          <w:rFonts w:ascii="Times New Roman" w:hAnsi="Times New Roman" w:cs="Times New Roman"/>
        </w:rPr>
        <w:lastRenderedPageBreak/>
        <w:t>fact</w:t>
      </w:r>
      <w:r w:rsidR="00DF122F" w:rsidRPr="008F07F2">
        <w:rPr>
          <w:rFonts w:ascii="Times New Roman" w:hAnsi="Times New Roman" w:cs="Times New Roman"/>
        </w:rPr>
        <w:t>,</w:t>
      </w:r>
      <w:r w:rsidR="00852B19" w:rsidRPr="008F07F2">
        <w:rPr>
          <w:rFonts w:ascii="Times New Roman" w:hAnsi="Times New Roman" w:cs="Times New Roman"/>
        </w:rPr>
        <w:t xml:space="preserve"> be limited or eliminated.  </w:t>
      </w:r>
      <w:r w:rsidR="00CF3687" w:rsidRPr="008F07F2">
        <w:rPr>
          <w:rFonts w:ascii="Times New Roman" w:hAnsi="Times New Roman" w:cs="Times New Roman"/>
        </w:rPr>
        <w:t>Again, ANR cites trial testimony to support this argument, and that testimony conflicts with t</w:t>
      </w:r>
      <w:r w:rsidR="00852B19" w:rsidRPr="008F07F2">
        <w:rPr>
          <w:rFonts w:ascii="Times New Roman" w:hAnsi="Times New Roman" w:cs="Times New Roman"/>
        </w:rPr>
        <w:t xml:space="preserve">he </w:t>
      </w:r>
      <w:r w:rsidR="00DD4872" w:rsidRPr="008F07F2">
        <w:rPr>
          <w:rFonts w:ascii="Times New Roman" w:hAnsi="Times New Roman" w:cs="Times New Roman"/>
        </w:rPr>
        <w:t>plain language</w:t>
      </w:r>
      <w:r w:rsidR="00CF3687" w:rsidRPr="008F07F2">
        <w:rPr>
          <w:rFonts w:ascii="Times New Roman" w:hAnsi="Times New Roman" w:cs="Times New Roman"/>
        </w:rPr>
        <w:t xml:space="preserve"> of the Anti-Degradation Procedure</w:t>
      </w:r>
      <w:r w:rsidR="00852B19" w:rsidRPr="008F07F2">
        <w:rPr>
          <w:rFonts w:ascii="Times New Roman" w:hAnsi="Times New Roman" w:cs="Times New Roman"/>
        </w:rPr>
        <w:t xml:space="preserve"> cited by ANR.  That provision reads: </w:t>
      </w:r>
    </w:p>
    <w:p w14:paraId="327F86AB" w14:textId="77777777" w:rsidR="000E5CB8" w:rsidRPr="008F07F2" w:rsidRDefault="000E5CB8" w:rsidP="00DD4872">
      <w:pPr>
        <w:spacing w:after="240" w:line="240" w:lineRule="auto"/>
        <w:ind w:left="720" w:right="720" w:firstLine="0"/>
        <w:rPr>
          <w:rFonts w:ascii="Times New Roman" w:hAnsi="Times New Roman" w:cs="Times New Roman"/>
        </w:rPr>
      </w:pPr>
      <w:r w:rsidRPr="008F07F2">
        <w:rPr>
          <w:rFonts w:ascii="Times New Roman" w:hAnsi="Times New Roman" w:cs="Times New Roman"/>
        </w:rPr>
        <w:t xml:space="preserve">If an existing use is identified that requires more stringent water quality conditions than those set forth in the classification of the receiving water, any permit issued by the Secretary must ensure the maintenance of water quality necessary to protect that existing use. </w:t>
      </w:r>
    </w:p>
    <w:p w14:paraId="615E11EE" w14:textId="77777777" w:rsidR="00DD4872" w:rsidRPr="008F07F2" w:rsidRDefault="000E5CB8" w:rsidP="00287FB0">
      <w:pPr>
        <w:ind w:firstLine="0"/>
        <w:rPr>
          <w:rFonts w:ascii="Times New Roman" w:hAnsi="Times New Roman" w:cs="Times New Roman"/>
        </w:rPr>
      </w:pPr>
      <w:r w:rsidRPr="008F07F2">
        <w:rPr>
          <w:rFonts w:ascii="Times New Roman" w:hAnsi="Times New Roman" w:cs="Times New Roman"/>
        </w:rPr>
        <w:t xml:space="preserve">Anti-Degradation Procedure VIII.F(4), at 18.  </w:t>
      </w:r>
      <w:r w:rsidR="00852B19" w:rsidRPr="008F07F2">
        <w:rPr>
          <w:rFonts w:ascii="Times New Roman" w:hAnsi="Times New Roman" w:cs="Times New Roman"/>
        </w:rPr>
        <w:t>Rather than justifying the elimination of existing uses, this provision simply reinforces the requirement that ex</w:t>
      </w:r>
      <w:r w:rsidR="00DD4872" w:rsidRPr="008F07F2">
        <w:rPr>
          <w:rFonts w:ascii="Times New Roman" w:hAnsi="Times New Roman" w:cs="Times New Roman"/>
        </w:rPr>
        <w:t xml:space="preserve">isting uses must be protected. </w:t>
      </w:r>
    </w:p>
    <w:p w14:paraId="70E2C00F" w14:textId="6F087BD0" w:rsidR="00983D0F" w:rsidRPr="008F07F2" w:rsidRDefault="00DD4872" w:rsidP="00DD4872">
      <w:pPr>
        <w:rPr>
          <w:rFonts w:ascii="Times New Roman" w:hAnsi="Times New Roman" w:cs="Times New Roman"/>
        </w:rPr>
      </w:pPr>
      <w:r w:rsidRPr="008F07F2">
        <w:rPr>
          <w:rFonts w:ascii="Times New Roman" w:hAnsi="Times New Roman" w:cs="Times New Roman"/>
        </w:rPr>
        <w:t xml:space="preserve">To the extent that ANR </w:t>
      </w:r>
      <w:r w:rsidR="000B5427" w:rsidRPr="008F07F2">
        <w:rPr>
          <w:rFonts w:ascii="Times New Roman" w:hAnsi="Times New Roman" w:cs="Times New Roman"/>
        </w:rPr>
        <w:t>asks the Court to read</w:t>
      </w:r>
      <w:r w:rsidRPr="008F07F2">
        <w:rPr>
          <w:rFonts w:ascii="Times New Roman" w:hAnsi="Times New Roman" w:cs="Times New Roman"/>
        </w:rPr>
        <w:t xml:space="preserve"> the VWQS to allow conditions required to support existing uses to be compromised at the expense of conditions required to support designated uses, that </w:t>
      </w:r>
      <w:r w:rsidR="000B5427" w:rsidRPr="008F07F2">
        <w:rPr>
          <w:rFonts w:ascii="Times New Roman" w:hAnsi="Times New Roman" w:cs="Times New Roman"/>
        </w:rPr>
        <w:t xml:space="preserve">reading is not based on any reliable or consistent Agency interpretation, is therefore not entitled to deference, and should not be adopted by the Court. </w:t>
      </w:r>
    </w:p>
    <w:p w14:paraId="3382CF14" w14:textId="01E4F2C2" w:rsidR="0082478D" w:rsidRPr="008F07F2" w:rsidRDefault="0082478D" w:rsidP="00DD4872">
      <w:pPr>
        <w:rPr>
          <w:rFonts w:ascii="Times New Roman" w:hAnsi="Times New Roman" w:cs="Times New Roman"/>
        </w:rPr>
      </w:pPr>
      <w:r w:rsidRPr="008F07F2">
        <w:rPr>
          <w:rFonts w:ascii="Times New Roman" w:hAnsi="Times New Roman" w:cs="Times New Roman"/>
        </w:rPr>
        <w:t xml:space="preserve">In the alternative, if the Court were to agree with ANR that the conditions supporting the use that requires the highest water quality must be protected, then the conditions required to support whitewater boating must be provided.  This is because whitewater boating requires a greater water quantity than other uses require.  Under the CWA, “water quantity is closely related to water quality” where certain uses rely on a </w:t>
      </w:r>
      <w:r w:rsidR="001E00F1">
        <w:rPr>
          <w:rFonts w:ascii="Times New Roman" w:hAnsi="Times New Roman" w:cs="Times New Roman"/>
        </w:rPr>
        <w:t>given</w:t>
      </w:r>
      <w:r w:rsidR="001E00F1" w:rsidRPr="008F07F2">
        <w:rPr>
          <w:rFonts w:ascii="Times New Roman" w:hAnsi="Times New Roman" w:cs="Times New Roman"/>
        </w:rPr>
        <w:t xml:space="preserve"> </w:t>
      </w:r>
      <w:r w:rsidRPr="008F07F2">
        <w:rPr>
          <w:rFonts w:ascii="Times New Roman" w:hAnsi="Times New Roman" w:cs="Times New Roman"/>
        </w:rPr>
        <w:t xml:space="preserve">quantity of water.  </w:t>
      </w:r>
      <w:r w:rsidRPr="0058743C">
        <w:rPr>
          <w:rFonts w:ascii="Times New Roman" w:hAnsi="Times New Roman" w:cs="Times New Roman"/>
          <w:i/>
          <w:lang w:val="en-US"/>
        </w:rPr>
        <w:t>PUD No. 1</w:t>
      </w:r>
      <w:r w:rsidRPr="008F07F2">
        <w:rPr>
          <w:rFonts w:ascii="Times New Roman" w:hAnsi="Times New Roman" w:cs="Times New Roman"/>
          <w:lang w:val="en-US"/>
        </w:rPr>
        <w:t>, 511 U.S. at 719</w:t>
      </w:r>
      <w:r w:rsidR="008F07F2" w:rsidRPr="008F07F2">
        <w:rPr>
          <w:rFonts w:ascii="Times New Roman" w:hAnsi="Times New Roman" w:cs="Times New Roman"/>
        </w:rPr>
        <w:fldChar w:fldCharType="begin"/>
      </w:r>
      <w:r w:rsidR="008F07F2" w:rsidRPr="008F07F2">
        <w:rPr>
          <w:rFonts w:ascii="Times New Roman" w:hAnsi="Times New Roman" w:cs="Times New Roman"/>
        </w:rPr>
        <w:instrText xml:space="preserve"> TA \l "</w:instrText>
      </w:r>
      <w:r w:rsidR="008F07F2" w:rsidRPr="008F07F2">
        <w:rPr>
          <w:rFonts w:ascii="Times New Roman" w:hAnsi="Times New Roman" w:cs="Times New Roman"/>
          <w:i/>
        </w:rPr>
        <w:instrText>PUD No. 1 of Jefferson Cty. v. Washington Dep’t of Ecology</w:instrText>
      </w:r>
      <w:r w:rsidR="008F07F2" w:rsidRPr="008F07F2">
        <w:rPr>
          <w:rFonts w:ascii="Times New Roman" w:hAnsi="Times New Roman" w:cs="Times New Roman"/>
        </w:rPr>
        <w:instrText xml:space="preserve">, 511 U.S. 700 (1994)" \s "PUD" \c 1 </w:instrText>
      </w:r>
      <w:r w:rsidR="008F07F2" w:rsidRPr="008F07F2">
        <w:rPr>
          <w:rFonts w:ascii="Times New Roman" w:hAnsi="Times New Roman" w:cs="Times New Roman"/>
        </w:rPr>
        <w:fldChar w:fldCharType="end"/>
      </w:r>
      <w:r w:rsidRPr="008F07F2">
        <w:rPr>
          <w:rFonts w:ascii="Times New Roman" w:hAnsi="Times New Roman" w:cs="Times New Roman"/>
          <w:lang w:val="en-US"/>
        </w:rPr>
        <w:t xml:space="preserve">.  </w:t>
      </w:r>
      <w:r w:rsidRPr="008F07F2">
        <w:rPr>
          <w:rFonts w:ascii="Times New Roman" w:hAnsi="Times New Roman" w:cs="Times New Roman"/>
        </w:rPr>
        <w:t xml:space="preserve">In such cases, decreasing quantity equates to decreasing quality, and would violate the CWA.  </w:t>
      </w:r>
      <w:r w:rsidRPr="008F07F2">
        <w:rPr>
          <w:rFonts w:ascii="Times New Roman" w:hAnsi="Times New Roman" w:cs="Times New Roman"/>
          <w:i/>
        </w:rPr>
        <w:t>Id</w:t>
      </w:r>
      <w:r w:rsidRPr="008F07F2">
        <w:rPr>
          <w:rFonts w:ascii="Times New Roman" w:hAnsi="Times New Roman" w:cs="Times New Roman"/>
        </w:rPr>
        <w:t xml:space="preserve">.  Thus, even if the Court concludes that the WQC need only protect the use calling for the highest quality of water, in this case it would then have to </w:t>
      </w:r>
      <w:r w:rsidR="008F07F2" w:rsidRPr="008F07F2">
        <w:rPr>
          <w:rFonts w:ascii="Times New Roman" w:hAnsi="Times New Roman" w:cs="Times New Roman"/>
        </w:rPr>
        <w:t xml:space="preserve">protect the higher quantity of water necessary to support whitewater boating.  </w:t>
      </w:r>
    </w:p>
    <w:p w14:paraId="45EEEF2B" w14:textId="77777777" w:rsidR="000E5CB8" w:rsidRPr="008F07F2" w:rsidRDefault="000E5CB8" w:rsidP="003D51EB">
      <w:pPr>
        <w:pStyle w:val="Heading1"/>
        <w:rPr>
          <w:rFonts w:ascii="Times New Roman" w:hAnsi="Times New Roman" w:cs="Times New Roman"/>
        </w:rPr>
      </w:pPr>
      <w:bookmarkStart w:id="16" w:name="_Toc535838880"/>
      <w:r w:rsidRPr="008F07F2">
        <w:rPr>
          <w:rFonts w:ascii="Times New Roman" w:hAnsi="Times New Roman" w:cs="Times New Roman"/>
        </w:rPr>
        <w:t>CONCLUSION</w:t>
      </w:r>
      <w:bookmarkEnd w:id="16"/>
    </w:p>
    <w:p w14:paraId="78E548E0" w14:textId="77777777" w:rsidR="009F54B7" w:rsidRDefault="00287FB0" w:rsidP="003D51EB">
      <w:pPr>
        <w:rPr>
          <w:rFonts w:ascii="Times New Roman" w:hAnsi="Times New Roman" w:cs="Times New Roman"/>
        </w:rPr>
      </w:pPr>
      <w:r>
        <w:rPr>
          <w:rFonts w:ascii="Times New Roman" w:hAnsi="Times New Roman" w:cs="Times New Roman"/>
        </w:rPr>
        <w:t xml:space="preserve">As the evidence demonstrates and as the Environmental Division founds, ANR’s initial Water Quality Certification reflected a flawed and incorrect application of its own policies and </w:t>
      </w:r>
      <w:r>
        <w:rPr>
          <w:rFonts w:ascii="Times New Roman" w:hAnsi="Times New Roman" w:cs="Times New Roman"/>
        </w:rPr>
        <w:lastRenderedPageBreak/>
        <w:t xml:space="preserve">findings.  By disregarding whitewater boating as an existing use, ANR’s process of developing a water quality certification and the eventual certification were fatally flawed.  The process and the document failed to </w:t>
      </w:r>
      <w:proofErr w:type="gramStart"/>
      <w:r>
        <w:rPr>
          <w:rFonts w:ascii="Times New Roman" w:hAnsi="Times New Roman" w:cs="Times New Roman"/>
        </w:rPr>
        <w:t>take into account</w:t>
      </w:r>
      <w:proofErr w:type="gramEnd"/>
      <w:r>
        <w:rPr>
          <w:rFonts w:ascii="Times New Roman" w:hAnsi="Times New Roman" w:cs="Times New Roman"/>
        </w:rPr>
        <w:t xml:space="preserve"> reasonable protections for the existing use of whitewater boating.  ANR did not undertake scientific studies and did not adopt a thoughtful process as required under the Clean Water Act and the Vermont Water Quality Standards to protect this existing use.  As required under both federal and state law, existing uses are entitled to the same protections as designated uses.  The Environmental Division correctly found that in the absence of such process, expertise, and policy, no deference to ANR was due.  </w:t>
      </w:r>
    </w:p>
    <w:p w14:paraId="4D250CB6" w14:textId="47007DC2" w:rsidR="00287FB0" w:rsidRDefault="00287FB0" w:rsidP="003D51EB">
      <w:pPr>
        <w:rPr>
          <w:rFonts w:ascii="Times New Roman" w:hAnsi="Times New Roman" w:cs="Times New Roman"/>
        </w:rPr>
      </w:pPr>
      <w:r>
        <w:rPr>
          <w:rFonts w:ascii="Times New Roman" w:hAnsi="Times New Roman" w:cs="Times New Roman"/>
        </w:rPr>
        <w:t xml:space="preserve">ANR now seeks to justify its initial decision under a series of post-hoc justifications, which it further seeks to wrap in the shroud of deference.  As noted, the law does not extend deference to litigation positions and post-hoc arguments.  In </w:t>
      </w:r>
      <w:r w:rsidR="009F54B7">
        <w:rPr>
          <w:rFonts w:ascii="Times New Roman" w:hAnsi="Times New Roman" w:cs="Times New Roman"/>
        </w:rPr>
        <w:t>this case no deference is due to ANR’s current position.  As the trial court in this case found, the weight of evidence and legal precedent fall squarely on the side of protecting whitewater boating and no legal or factual basis exists to parse its use.  No benefit to the environment accrues from ending the seasonally appropriate timed releases, and the practice would simply be to champion one use at the expense of another.  The Environmental Division’s ruling in this matter is the one proposal that, consistent with the CWA and VWQS, allows all uses to co-exist with sacrifice from either and represents a fair and sustainable balance under the CWA within an artificial river/reservoir environment.</w:t>
      </w:r>
    </w:p>
    <w:p w14:paraId="7A5A17DD" w14:textId="0F29AB92" w:rsidR="000E5CB8" w:rsidRPr="008F07F2" w:rsidRDefault="000E5CB8" w:rsidP="003D51EB">
      <w:pPr>
        <w:rPr>
          <w:rFonts w:ascii="Times New Roman" w:hAnsi="Times New Roman" w:cs="Times New Roman"/>
        </w:rPr>
      </w:pPr>
      <w:r w:rsidRPr="008F07F2">
        <w:rPr>
          <w:rFonts w:ascii="Times New Roman" w:hAnsi="Times New Roman" w:cs="Times New Roman"/>
        </w:rPr>
        <w:t>American Whitewater and Vermont Paddlers Club respectfully request that the Court affirm the Environmental Di</w:t>
      </w:r>
      <w:r w:rsidR="000B5427" w:rsidRPr="008F07F2">
        <w:rPr>
          <w:rFonts w:ascii="Times New Roman" w:hAnsi="Times New Roman" w:cs="Times New Roman"/>
        </w:rPr>
        <w:t xml:space="preserve">vision’s decision </w:t>
      </w:r>
      <w:proofErr w:type="gramStart"/>
      <w:r w:rsidR="000B5427" w:rsidRPr="008F07F2">
        <w:rPr>
          <w:rFonts w:ascii="Times New Roman" w:hAnsi="Times New Roman" w:cs="Times New Roman"/>
        </w:rPr>
        <w:t>in regard to</w:t>
      </w:r>
      <w:proofErr w:type="gramEnd"/>
      <w:r w:rsidR="000B5427" w:rsidRPr="008F07F2">
        <w:rPr>
          <w:rFonts w:ascii="Times New Roman" w:hAnsi="Times New Roman" w:cs="Times New Roman"/>
        </w:rPr>
        <w:t xml:space="preserve"> w</w:t>
      </w:r>
      <w:r w:rsidRPr="008F07F2">
        <w:rPr>
          <w:rFonts w:ascii="Times New Roman" w:hAnsi="Times New Roman" w:cs="Times New Roman"/>
        </w:rPr>
        <w:t xml:space="preserve">hitewater boating activity and affirm the modified flow regime for the Green River, adopted by the Court, that protects water quality </w:t>
      </w:r>
      <w:r w:rsidR="00287FB0">
        <w:rPr>
          <w:rFonts w:ascii="Times New Roman" w:hAnsi="Times New Roman" w:cs="Times New Roman"/>
        </w:rPr>
        <w:t>for</w:t>
      </w:r>
      <w:r w:rsidR="00287FB0" w:rsidRPr="008F07F2">
        <w:rPr>
          <w:rFonts w:ascii="Times New Roman" w:hAnsi="Times New Roman" w:cs="Times New Roman"/>
        </w:rPr>
        <w:t xml:space="preserve"> </w:t>
      </w:r>
      <w:r w:rsidRPr="008F07F2">
        <w:rPr>
          <w:rFonts w:ascii="Times New Roman" w:hAnsi="Times New Roman" w:cs="Times New Roman"/>
        </w:rPr>
        <w:t xml:space="preserve">all designated and existing uses including whitewater boating. </w:t>
      </w:r>
      <w:r w:rsidR="00287FB0">
        <w:rPr>
          <w:rFonts w:ascii="Times New Roman" w:hAnsi="Times New Roman" w:cs="Times New Roman"/>
        </w:rPr>
        <w:t xml:space="preserve"> </w:t>
      </w:r>
      <w:r w:rsidRPr="008F07F2">
        <w:rPr>
          <w:rFonts w:ascii="Times New Roman" w:hAnsi="Times New Roman" w:cs="Times New Roman"/>
        </w:rPr>
        <w:t xml:space="preserve">AW/VPC requests that the Court affirm the decision of the Environmental Division requiring that the WQC include provisions for </w:t>
      </w:r>
      <w:r w:rsidR="00287FB0">
        <w:rPr>
          <w:rFonts w:ascii="Times New Roman" w:hAnsi="Times New Roman" w:cs="Times New Roman"/>
        </w:rPr>
        <w:lastRenderedPageBreak/>
        <w:t xml:space="preserve">three </w:t>
      </w:r>
      <w:r w:rsidRPr="008F07F2">
        <w:rPr>
          <w:rFonts w:ascii="Times New Roman" w:hAnsi="Times New Roman" w:cs="Times New Roman"/>
        </w:rPr>
        <w:t>scheduled whitewater boating releases at optimal flows in order to support the continuation of existing whitewater boating uses on the Green River</w:t>
      </w:r>
      <w:r w:rsidR="008E6286" w:rsidRPr="008F07F2">
        <w:rPr>
          <w:rFonts w:ascii="Times New Roman" w:hAnsi="Times New Roman" w:cs="Times New Roman"/>
        </w:rPr>
        <w:t>.</w:t>
      </w:r>
    </w:p>
    <w:p w14:paraId="6D5271EB" w14:textId="77777777" w:rsidR="000E5CB8" w:rsidRPr="008F07F2" w:rsidRDefault="000E5CB8" w:rsidP="003D51EB">
      <w:pPr>
        <w:spacing w:line="240" w:lineRule="auto"/>
        <w:rPr>
          <w:rFonts w:ascii="Times New Roman" w:hAnsi="Times New Roman" w:cs="Times New Roman"/>
        </w:rPr>
      </w:pP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t>AMERICAN WHITEWATER</w:t>
      </w:r>
    </w:p>
    <w:p w14:paraId="0EE92F4C" w14:textId="77777777" w:rsidR="000E5CB8" w:rsidRPr="008F07F2" w:rsidRDefault="000E5CB8" w:rsidP="003D51EB">
      <w:pPr>
        <w:spacing w:line="240" w:lineRule="auto"/>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Pr="008F07F2">
        <w:rPr>
          <w:rFonts w:ascii="Times New Roman" w:hAnsi="Times New Roman" w:cs="Times New Roman"/>
        </w:rPr>
        <w:tab/>
        <w:t>VERMONT PADDLERS CLUB</w:t>
      </w:r>
    </w:p>
    <w:p w14:paraId="22C831E1" w14:textId="77777777" w:rsidR="000E5CB8" w:rsidRPr="008F07F2" w:rsidRDefault="000E5CB8" w:rsidP="003D51EB">
      <w:pPr>
        <w:spacing w:line="240" w:lineRule="auto"/>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p>
    <w:p w14:paraId="752E5236" w14:textId="77777777" w:rsidR="000E5CB8" w:rsidRPr="008F07F2" w:rsidRDefault="000E5CB8" w:rsidP="003D51EB">
      <w:pPr>
        <w:spacing w:line="240" w:lineRule="auto"/>
        <w:rPr>
          <w:rFonts w:ascii="Times New Roman" w:hAnsi="Times New Roman" w:cs="Times New Roman"/>
        </w:rPr>
      </w:pP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t>____________________________</w:t>
      </w:r>
    </w:p>
    <w:p w14:paraId="0D14DAC8" w14:textId="406E75C1" w:rsidR="000E5CB8" w:rsidRPr="008F07F2" w:rsidRDefault="000E5CB8" w:rsidP="003D51EB">
      <w:pPr>
        <w:spacing w:line="240" w:lineRule="auto"/>
        <w:ind w:left="3600"/>
        <w:rPr>
          <w:rFonts w:ascii="Times New Roman" w:hAnsi="Times New Roman" w:cs="Times New Roman"/>
        </w:rPr>
      </w:pPr>
      <w:r w:rsidRPr="008F07F2">
        <w:rPr>
          <w:rFonts w:ascii="Times New Roman" w:hAnsi="Times New Roman" w:cs="Times New Roman"/>
        </w:rPr>
        <w:t>By:</w:t>
      </w:r>
      <w:r w:rsidRPr="008F07F2">
        <w:rPr>
          <w:rFonts w:ascii="Times New Roman" w:hAnsi="Times New Roman" w:cs="Times New Roman"/>
        </w:rPr>
        <w:tab/>
        <w:t>Daniel Richardson, Esq.</w:t>
      </w:r>
    </w:p>
    <w:p w14:paraId="7419D331" w14:textId="211D81AF" w:rsidR="000E5CB8" w:rsidRPr="008F07F2" w:rsidRDefault="000E5CB8" w:rsidP="00227491">
      <w:pPr>
        <w:spacing w:line="240" w:lineRule="auto"/>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Pr="008F07F2">
        <w:rPr>
          <w:rFonts w:ascii="Times New Roman" w:hAnsi="Times New Roman" w:cs="Times New Roman"/>
        </w:rPr>
        <w:tab/>
        <w:t>Tarrant, Gillies &amp; Richardson</w:t>
      </w:r>
    </w:p>
    <w:p w14:paraId="1DC7E2E8" w14:textId="77777777" w:rsidR="000E5CB8" w:rsidRPr="008F07F2" w:rsidRDefault="000E5CB8" w:rsidP="003D51EB">
      <w:pPr>
        <w:spacing w:line="240" w:lineRule="auto"/>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Pr="008F07F2">
        <w:rPr>
          <w:rFonts w:ascii="Times New Roman" w:hAnsi="Times New Roman" w:cs="Times New Roman"/>
        </w:rPr>
        <w:tab/>
        <w:t>P.O. Box 1440</w:t>
      </w:r>
    </w:p>
    <w:p w14:paraId="1858AB89" w14:textId="77777777" w:rsidR="000E5CB8" w:rsidRPr="008F07F2" w:rsidRDefault="000E5CB8" w:rsidP="003D51EB">
      <w:pPr>
        <w:spacing w:line="240" w:lineRule="auto"/>
        <w:rPr>
          <w:rFonts w:ascii="Times New Roman" w:hAnsi="Times New Roman" w:cs="Times New Roman"/>
        </w:rPr>
      </w:pPr>
      <w:r w:rsidRPr="008F07F2">
        <w:rPr>
          <w:rFonts w:ascii="Times New Roman" w:hAnsi="Times New Roman" w:cs="Times New Roman"/>
        </w:rPr>
        <w:t xml:space="preserve">                                                        </w:t>
      </w:r>
      <w:r w:rsidRPr="008F07F2">
        <w:rPr>
          <w:rFonts w:ascii="Times New Roman" w:hAnsi="Times New Roman" w:cs="Times New Roman"/>
        </w:rPr>
        <w:tab/>
        <w:t xml:space="preserve">        </w:t>
      </w:r>
      <w:r w:rsidRPr="008F07F2">
        <w:rPr>
          <w:rFonts w:ascii="Times New Roman" w:hAnsi="Times New Roman" w:cs="Times New Roman"/>
        </w:rPr>
        <w:tab/>
        <w:t>Montpelier, 04601-1440</w:t>
      </w:r>
    </w:p>
    <w:p w14:paraId="1CB964AA" w14:textId="17F9C1F4" w:rsidR="0058743C" w:rsidRDefault="0058743C">
      <w:pPr>
        <w:spacing w:line="240" w:lineRule="auto"/>
        <w:ind w:firstLine="0"/>
        <w:jc w:val="left"/>
        <w:rPr>
          <w:rFonts w:ascii="Times New Roman" w:hAnsi="Times New Roman" w:cs="Times New Roman"/>
        </w:rPr>
      </w:pPr>
      <w:r>
        <w:rPr>
          <w:rFonts w:ascii="Times New Roman" w:hAnsi="Times New Roman" w:cs="Times New Roman"/>
        </w:rPr>
        <w:br w:type="page"/>
      </w:r>
    </w:p>
    <w:p w14:paraId="6392653C" w14:textId="04BEEB59" w:rsidR="00A96C8B" w:rsidRDefault="0058743C" w:rsidP="00CC4CD4">
      <w:pPr>
        <w:spacing w:line="240" w:lineRule="auto"/>
        <w:ind w:left="720" w:firstLine="0"/>
        <w:jc w:val="center"/>
        <w:rPr>
          <w:rFonts w:ascii="Times New Roman" w:hAnsi="Times New Roman" w:cs="Times New Roman"/>
        </w:rPr>
      </w:pPr>
      <w:r>
        <w:rPr>
          <w:rFonts w:ascii="Times New Roman" w:hAnsi="Times New Roman" w:cs="Times New Roman"/>
          <w:b/>
        </w:rPr>
        <w:lastRenderedPageBreak/>
        <w:t>CERTIFICATE OF COMPLIANCE</w:t>
      </w:r>
    </w:p>
    <w:p w14:paraId="2B5776D2" w14:textId="557626B0" w:rsidR="0058743C" w:rsidRDefault="0058743C" w:rsidP="003D51EB">
      <w:pPr>
        <w:spacing w:line="240" w:lineRule="auto"/>
        <w:ind w:left="720" w:firstLine="0"/>
        <w:rPr>
          <w:rFonts w:ascii="Times New Roman" w:hAnsi="Times New Roman" w:cs="Times New Roman"/>
        </w:rPr>
      </w:pPr>
    </w:p>
    <w:p w14:paraId="30B703F5" w14:textId="57962C86" w:rsidR="0058743C" w:rsidRDefault="0058743C" w:rsidP="00CC4CD4">
      <w:pPr>
        <w:rPr>
          <w:rFonts w:ascii="Times New Roman" w:hAnsi="Times New Roman" w:cs="Times New Roman"/>
        </w:rPr>
      </w:pPr>
      <w:r>
        <w:rPr>
          <w:rFonts w:ascii="Times New Roman" w:hAnsi="Times New Roman" w:cs="Times New Roman"/>
        </w:rPr>
        <w:t xml:space="preserve">I, Daniel Richardson, Esq., counsel of record for Appellees American Whitewater and Vermont Paddlers Club, certify that this brief complies with the word count limit in V.R.A.P. 32(a)(7)(A).  According to the word count of the Microsoft Word processing software used to prepare this brief, the text of this </w:t>
      </w:r>
      <w:r w:rsidR="00CC4CD4">
        <w:rPr>
          <w:rFonts w:ascii="Times New Roman" w:hAnsi="Times New Roman" w:cs="Times New Roman"/>
        </w:rPr>
        <w:t>brief contains 7,</w:t>
      </w:r>
      <w:r w:rsidR="009F54B7">
        <w:rPr>
          <w:rFonts w:ascii="Times New Roman" w:hAnsi="Times New Roman" w:cs="Times New Roman"/>
        </w:rPr>
        <w:t>7</w:t>
      </w:r>
      <w:r w:rsidR="00CC4CD4">
        <w:rPr>
          <w:rFonts w:ascii="Times New Roman" w:hAnsi="Times New Roman" w:cs="Times New Roman"/>
        </w:rPr>
        <w:t>04 words.</w:t>
      </w:r>
    </w:p>
    <w:p w14:paraId="32C92CE7" w14:textId="6ACC7AA6" w:rsidR="00CC4CD4" w:rsidRDefault="00CC4CD4" w:rsidP="00CC4CD4">
      <w:pPr>
        <w:rPr>
          <w:rFonts w:ascii="Times New Roman" w:hAnsi="Times New Roman" w:cs="Times New Roman"/>
        </w:rPr>
      </w:pPr>
    </w:p>
    <w:p w14:paraId="418A1F40" w14:textId="6ADDB848" w:rsidR="00CC4CD4" w:rsidRDefault="00CC4CD4" w:rsidP="00CC4CD4">
      <w:pPr>
        <w:rPr>
          <w:rFonts w:ascii="Times New Roman" w:hAnsi="Times New Roman" w:cs="Times New Roman"/>
        </w:rPr>
      </w:pPr>
    </w:p>
    <w:p w14:paraId="3875D577" w14:textId="77777777" w:rsidR="00CC4CD4" w:rsidRPr="008F07F2" w:rsidRDefault="00CC4CD4" w:rsidP="00CC4CD4">
      <w:pPr>
        <w:spacing w:line="240" w:lineRule="auto"/>
        <w:rPr>
          <w:rFonts w:ascii="Times New Roman" w:hAnsi="Times New Roman" w:cs="Times New Roman"/>
        </w:rPr>
      </w:pP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r>
      <w:r w:rsidRPr="008F07F2">
        <w:rPr>
          <w:rFonts w:ascii="Times New Roman" w:hAnsi="Times New Roman" w:cs="Times New Roman"/>
        </w:rPr>
        <w:tab/>
        <w:t>____________________________</w:t>
      </w:r>
    </w:p>
    <w:p w14:paraId="1B8B05E2" w14:textId="3F6D65CD" w:rsidR="00CC4CD4" w:rsidRPr="008F07F2" w:rsidRDefault="00CC4CD4" w:rsidP="00CC4CD4">
      <w:pPr>
        <w:spacing w:line="240" w:lineRule="auto"/>
        <w:ind w:left="4320"/>
        <w:rPr>
          <w:rFonts w:ascii="Times New Roman" w:hAnsi="Times New Roman" w:cs="Times New Roman"/>
        </w:rPr>
      </w:pPr>
      <w:r w:rsidRPr="008F07F2">
        <w:rPr>
          <w:rFonts w:ascii="Times New Roman" w:hAnsi="Times New Roman" w:cs="Times New Roman"/>
        </w:rPr>
        <w:t>Daniel Richardson, Esq.</w:t>
      </w:r>
    </w:p>
    <w:p w14:paraId="56F3A0C9" w14:textId="77777777" w:rsidR="00CC4CD4" w:rsidRPr="0058743C" w:rsidRDefault="00CC4CD4" w:rsidP="0058743C">
      <w:pPr>
        <w:spacing w:line="240" w:lineRule="auto"/>
        <w:rPr>
          <w:rFonts w:ascii="Times New Roman" w:hAnsi="Times New Roman" w:cs="Times New Roman"/>
        </w:rPr>
      </w:pPr>
    </w:p>
    <w:sectPr w:rsidR="00CC4CD4" w:rsidRPr="0058743C" w:rsidSect="00266CF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76B37" w14:textId="77777777" w:rsidR="00C05BED" w:rsidRDefault="00C05BED" w:rsidP="00A96C8B">
      <w:r>
        <w:separator/>
      </w:r>
    </w:p>
  </w:endnote>
  <w:endnote w:type="continuationSeparator" w:id="0">
    <w:p w14:paraId="5E230C9E" w14:textId="77777777" w:rsidR="00C05BED" w:rsidRDefault="00C05BED" w:rsidP="00A9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5398" w14:textId="77777777" w:rsidR="00D9674F" w:rsidRDefault="00D9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743635"/>
      <w:docPartObj>
        <w:docPartGallery w:val="Page Numbers (Bottom of Page)"/>
        <w:docPartUnique/>
      </w:docPartObj>
    </w:sdtPr>
    <w:sdtEndPr>
      <w:rPr>
        <w:noProof/>
      </w:rPr>
    </w:sdtEndPr>
    <w:sdtContent>
      <w:p w14:paraId="4350C9AD" w14:textId="77777777" w:rsidR="00D9674F" w:rsidRDefault="00D967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5C1CD" w14:textId="77777777" w:rsidR="00D9674F" w:rsidRDefault="00D96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5CAD" w14:textId="77777777" w:rsidR="00D9674F" w:rsidRDefault="00D96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040089"/>
      <w:docPartObj>
        <w:docPartGallery w:val="Page Numbers (Bottom of Page)"/>
        <w:docPartUnique/>
      </w:docPartObj>
    </w:sdtPr>
    <w:sdtEndPr>
      <w:rPr>
        <w:noProof/>
      </w:rPr>
    </w:sdtEndPr>
    <w:sdtContent>
      <w:p w14:paraId="4A6FD832" w14:textId="77777777" w:rsidR="00D9674F" w:rsidRDefault="00D967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5C8BC" w14:textId="77777777" w:rsidR="00D9674F" w:rsidRDefault="00D9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4BB8" w14:textId="77777777" w:rsidR="00C05BED" w:rsidRDefault="00C05BED" w:rsidP="00A96C8B">
      <w:r>
        <w:separator/>
      </w:r>
    </w:p>
  </w:footnote>
  <w:footnote w:type="continuationSeparator" w:id="0">
    <w:p w14:paraId="5841179F" w14:textId="77777777" w:rsidR="00C05BED" w:rsidRDefault="00C05BED" w:rsidP="00A96C8B">
      <w:r>
        <w:continuationSeparator/>
      </w:r>
    </w:p>
  </w:footnote>
  <w:footnote w:id="1">
    <w:p w14:paraId="5C73AFF3" w14:textId="77777777" w:rsidR="00D9674F" w:rsidRPr="00B22EF9" w:rsidRDefault="00D9674F" w:rsidP="00B22EF9">
      <w:pPr>
        <w:spacing w:line="240" w:lineRule="auto"/>
        <w:rPr>
          <w:rFonts w:ascii="Times New Roman" w:hAnsi="Times New Roman" w:cs="Times New Roman"/>
          <w:sz w:val="22"/>
          <w:szCs w:val="22"/>
        </w:rPr>
      </w:pPr>
      <w:r w:rsidRPr="00B22EF9">
        <w:rPr>
          <w:rFonts w:ascii="Times New Roman" w:hAnsi="Times New Roman" w:cs="Times New Roman"/>
          <w:sz w:val="22"/>
          <w:szCs w:val="22"/>
          <w:vertAlign w:val="superscript"/>
        </w:rPr>
        <w:footnoteRef/>
      </w:r>
      <w:r w:rsidRPr="00B22EF9">
        <w:rPr>
          <w:rFonts w:ascii="Times New Roman" w:hAnsi="Times New Roman" w:cs="Times New Roman"/>
          <w:sz w:val="22"/>
          <w:szCs w:val="22"/>
        </w:rPr>
        <w:t xml:space="preserve"> It is important to note that the Agency’s technical and certification work in this case was built around the presumption that whitewater boating is not an existing use and thus not entitled to any protection or consideration.</w:t>
      </w:r>
    </w:p>
  </w:footnote>
  <w:footnote w:id="2">
    <w:p w14:paraId="01F1074E" w14:textId="77777777" w:rsidR="00227491" w:rsidRPr="001B4DAC" w:rsidRDefault="00227491" w:rsidP="00227491">
      <w:pPr>
        <w:pStyle w:val="FootnoteText"/>
        <w:spacing w:line="240" w:lineRule="auto"/>
        <w:rPr>
          <w:rFonts w:ascii="Times New Roman" w:hAnsi="Times New Roman" w:cs="Times New Roman"/>
          <w:sz w:val="22"/>
          <w:szCs w:val="22"/>
          <w:lang w:val="en-US"/>
        </w:rPr>
      </w:pPr>
      <w:r w:rsidRPr="001B4DAC">
        <w:rPr>
          <w:rStyle w:val="FootnoteReference"/>
          <w:rFonts w:ascii="Times New Roman" w:hAnsi="Times New Roman" w:cs="Times New Roman"/>
          <w:sz w:val="22"/>
          <w:szCs w:val="22"/>
        </w:rPr>
        <w:footnoteRef/>
      </w:r>
      <w:r w:rsidRPr="001B4DAC">
        <w:rPr>
          <w:rFonts w:ascii="Times New Roman" w:hAnsi="Times New Roman" w:cs="Times New Roman"/>
          <w:sz w:val="22"/>
          <w:szCs w:val="22"/>
        </w:rPr>
        <w:t xml:space="preserve"> </w:t>
      </w:r>
      <w:r w:rsidRPr="001B4DAC">
        <w:rPr>
          <w:rFonts w:ascii="Times New Roman" w:hAnsi="Times New Roman" w:cs="Times New Roman"/>
          <w:sz w:val="22"/>
          <w:szCs w:val="22"/>
          <w:lang w:val="en-US"/>
        </w:rPr>
        <w:t>The implication of this data is that scheduled releases are arguably beneficial to the river providing a man-made balance to the artificial suspension of river-flow created by both the dam and the flow regimes.</w:t>
      </w:r>
    </w:p>
  </w:footnote>
  <w:footnote w:id="3">
    <w:p w14:paraId="5D31EBB8" w14:textId="77777777" w:rsidR="00D9674F" w:rsidRPr="00B22EF9" w:rsidRDefault="00D9674F" w:rsidP="00B22EF9">
      <w:pPr>
        <w:pStyle w:val="FootnoteText"/>
        <w:spacing w:line="240" w:lineRule="auto"/>
        <w:rPr>
          <w:rFonts w:ascii="Times New Roman" w:hAnsi="Times New Roman" w:cs="Times New Roman"/>
          <w:sz w:val="22"/>
          <w:szCs w:val="22"/>
          <w:lang w:val="en-US"/>
        </w:rPr>
      </w:pPr>
      <w:r w:rsidRPr="00B22EF9">
        <w:rPr>
          <w:rStyle w:val="FootnoteReference"/>
          <w:rFonts w:ascii="Times New Roman" w:hAnsi="Times New Roman" w:cs="Times New Roman"/>
          <w:sz w:val="22"/>
          <w:szCs w:val="22"/>
        </w:rPr>
        <w:footnoteRef/>
      </w:r>
      <w:r w:rsidRPr="00B22EF9">
        <w:rPr>
          <w:rFonts w:ascii="Times New Roman" w:hAnsi="Times New Roman" w:cs="Times New Roman"/>
          <w:sz w:val="22"/>
          <w:szCs w:val="22"/>
        </w:rPr>
        <w:t xml:space="preserve"> Partial elimination might be caused, for example, when a protected use relies on a quantity of water—as whitewater boating does here—and that quantity of water is reduced.  See </w:t>
      </w:r>
      <w:r w:rsidRPr="00B22EF9">
        <w:rPr>
          <w:rFonts w:ascii="Times New Roman" w:hAnsi="Times New Roman" w:cs="Times New Roman"/>
          <w:i/>
          <w:sz w:val="22"/>
          <w:szCs w:val="22"/>
        </w:rPr>
        <w:t>PUD</w:t>
      </w:r>
      <w:r w:rsidRPr="00B22EF9">
        <w:rPr>
          <w:rFonts w:ascii="Times New Roman" w:hAnsi="Times New Roman" w:cs="Times New Roman"/>
          <w:i/>
          <w:sz w:val="22"/>
          <w:szCs w:val="22"/>
        </w:rPr>
        <w:fldChar w:fldCharType="begin"/>
      </w:r>
      <w:r w:rsidRPr="00B22EF9">
        <w:rPr>
          <w:rFonts w:ascii="Times New Roman" w:hAnsi="Times New Roman" w:cs="Times New Roman"/>
          <w:i/>
          <w:sz w:val="22"/>
          <w:szCs w:val="22"/>
        </w:rPr>
        <w:instrText xml:space="preserve"> TA \s "PUD" </w:instrText>
      </w:r>
      <w:r w:rsidRPr="00B22EF9">
        <w:rPr>
          <w:rFonts w:ascii="Times New Roman" w:hAnsi="Times New Roman" w:cs="Times New Roman"/>
          <w:i/>
          <w:sz w:val="22"/>
          <w:szCs w:val="22"/>
        </w:rPr>
        <w:fldChar w:fldCharType="end"/>
      </w:r>
      <w:r w:rsidRPr="00B22EF9">
        <w:rPr>
          <w:rFonts w:ascii="Times New Roman" w:hAnsi="Times New Roman" w:cs="Times New Roman"/>
          <w:i/>
          <w:sz w:val="22"/>
          <w:szCs w:val="22"/>
        </w:rPr>
        <w:t xml:space="preserve"> No. 1</w:t>
      </w:r>
      <w:r w:rsidRPr="00B22EF9">
        <w:rPr>
          <w:rFonts w:ascii="Times New Roman" w:hAnsi="Times New Roman" w:cs="Times New Roman"/>
          <w:sz w:val="22"/>
          <w:szCs w:val="22"/>
        </w:rPr>
        <w:t xml:space="preserve">, 511 U.S. 700, 720 (1994).  </w:t>
      </w:r>
    </w:p>
  </w:footnote>
  <w:footnote w:id="4">
    <w:p w14:paraId="33E85E12" w14:textId="254F4A4C" w:rsidR="00D9674F" w:rsidRPr="001B4DAC" w:rsidRDefault="00D9674F" w:rsidP="001B4DAC">
      <w:pPr>
        <w:pStyle w:val="FootnoteText"/>
        <w:spacing w:line="240" w:lineRule="auto"/>
        <w:rPr>
          <w:rFonts w:ascii="Times New Roman" w:hAnsi="Times New Roman" w:cs="Times New Roman"/>
          <w:sz w:val="22"/>
          <w:szCs w:val="22"/>
          <w:lang w:val="en-US"/>
        </w:rPr>
      </w:pPr>
      <w:r w:rsidRPr="001B4DAC">
        <w:rPr>
          <w:rStyle w:val="FootnoteReference"/>
          <w:rFonts w:ascii="Times New Roman" w:hAnsi="Times New Roman" w:cs="Times New Roman"/>
          <w:sz w:val="22"/>
          <w:szCs w:val="22"/>
        </w:rPr>
        <w:footnoteRef/>
      </w:r>
      <w:r w:rsidRPr="001B4DAC">
        <w:rPr>
          <w:rFonts w:ascii="Times New Roman" w:hAnsi="Times New Roman" w:cs="Times New Roman"/>
          <w:sz w:val="22"/>
          <w:szCs w:val="22"/>
        </w:rPr>
        <w:t xml:space="preserve"> </w:t>
      </w:r>
      <w:r w:rsidRPr="001B4DAC">
        <w:rPr>
          <w:rFonts w:ascii="Times New Roman" w:hAnsi="Times New Roman" w:cs="Times New Roman"/>
          <w:sz w:val="22"/>
          <w:szCs w:val="22"/>
          <w:lang w:val="en-US"/>
        </w:rPr>
        <w:t xml:space="preserve">As set out above, there is also no factual basis to support the idea that there is a conflict, or that protecting whitewater boating would be at the expense of any designated use.  </w:t>
      </w:r>
    </w:p>
  </w:footnote>
  <w:footnote w:id="5">
    <w:p w14:paraId="14568D8D" w14:textId="1ACA69A2" w:rsidR="00D9674F" w:rsidRPr="001B4DAC" w:rsidRDefault="00D9674F" w:rsidP="001B4DAC">
      <w:pPr>
        <w:pStyle w:val="FootnoteText"/>
        <w:spacing w:line="240" w:lineRule="auto"/>
        <w:rPr>
          <w:rFonts w:ascii="Times New Roman" w:hAnsi="Times New Roman" w:cs="Times New Roman"/>
          <w:sz w:val="22"/>
          <w:szCs w:val="22"/>
          <w:lang w:val="en-US"/>
        </w:rPr>
      </w:pPr>
      <w:r w:rsidRPr="001B4DAC">
        <w:rPr>
          <w:rStyle w:val="FootnoteReference"/>
          <w:rFonts w:ascii="Times New Roman" w:hAnsi="Times New Roman" w:cs="Times New Roman"/>
          <w:sz w:val="22"/>
          <w:szCs w:val="22"/>
        </w:rPr>
        <w:footnoteRef/>
      </w:r>
      <w:r w:rsidRPr="001B4DAC">
        <w:rPr>
          <w:rFonts w:ascii="Times New Roman" w:hAnsi="Times New Roman" w:cs="Times New Roman"/>
          <w:sz w:val="22"/>
          <w:szCs w:val="22"/>
        </w:rPr>
        <w:t xml:space="preserve"> </w:t>
      </w:r>
      <w:r w:rsidR="00380326">
        <w:rPr>
          <w:rFonts w:ascii="Times New Roman" w:hAnsi="Times New Roman" w:cs="Times New Roman"/>
          <w:sz w:val="22"/>
          <w:szCs w:val="22"/>
          <w:lang w:val="en-US"/>
        </w:rPr>
        <w:t>AW/VPC do</w:t>
      </w:r>
      <w:r w:rsidRPr="001B4DAC">
        <w:rPr>
          <w:rFonts w:ascii="Times New Roman" w:hAnsi="Times New Roman" w:cs="Times New Roman"/>
          <w:sz w:val="22"/>
          <w:szCs w:val="22"/>
          <w:lang w:val="en-US"/>
        </w:rPr>
        <w:t xml:space="preserve"> not argue that existing use of whitewater boati</w:t>
      </w:r>
      <w:r w:rsidRPr="00B22EF9">
        <w:rPr>
          <w:rFonts w:ascii="Times New Roman" w:hAnsi="Times New Roman" w:cs="Times New Roman"/>
          <w:sz w:val="22"/>
          <w:szCs w:val="22"/>
          <w:lang w:val="en-US"/>
        </w:rPr>
        <w:t>ng should be prioritized over</w:t>
      </w:r>
      <w:r w:rsidRPr="001B4DAC">
        <w:rPr>
          <w:rFonts w:ascii="Times New Roman" w:hAnsi="Times New Roman" w:cs="Times New Roman"/>
          <w:sz w:val="22"/>
          <w:szCs w:val="22"/>
          <w:lang w:val="en-US"/>
        </w:rPr>
        <w:t xml:space="preserve"> aquatic habitat or any other designated use; rather, we argue that both existing and designated uses</w:t>
      </w:r>
      <w:r w:rsidRPr="00B22EF9">
        <w:rPr>
          <w:rFonts w:ascii="Times New Roman" w:hAnsi="Times New Roman" w:cs="Times New Roman"/>
          <w:sz w:val="22"/>
          <w:szCs w:val="22"/>
          <w:lang w:val="en-US"/>
        </w:rPr>
        <w:t>—</w:t>
      </w:r>
      <w:r w:rsidRPr="001B4DAC">
        <w:rPr>
          <w:rFonts w:ascii="Times New Roman" w:hAnsi="Times New Roman" w:cs="Times New Roman"/>
          <w:sz w:val="22"/>
          <w:szCs w:val="22"/>
          <w:lang w:val="en-US"/>
        </w:rPr>
        <w:t>including whitewater boating</w:t>
      </w:r>
      <w:r w:rsidRPr="00B22EF9">
        <w:rPr>
          <w:rFonts w:ascii="Times New Roman" w:hAnsi="Times New Roman" w:cs="Times New Roman"/>
          <w:sz w:val="22"/>
          <w:szCs w:val="22"/>
          <w:lang w:val="en-US"/>
        </w:rPr>
        <w:t>—</w:t>
      </w:r>
      <w:r w:rsidRPr="001B4DAC">
        <w:rPr>
          <w:rFonts w:ascii="Times New Roman" w:hAnsi="Times New Roman" w:cs="Times New Roman"/>
          <w:sz w:val="22"/>
          <w:szCs w:val="22"/>
          <w:lang w:val="en-US"/>
        </w:rPr>
        <w:t xml:space="preserve">can be protected, and there is no need to prioritize one over the other. </w:t>
      </w:r>
    </w:p>
  </w:footnote>
  <w:footnote w:id="6">
    <w:p w14:paraId="008B5B60" w14:textId="766B5BE6" w:rsidR="00D9674F" w:rsidRPr="001B4DAC" w:rsidRDefault="00D9674F" w:rsidP="001B4DAC">
      <w:pPr>
        <w:pStyle w:val="FootnoteText"/>
        <w:spacing w:line="240" w:lineRule="auto"/>
        <w:rPr>
          <w:rFonts w:ascii="Times New Roman" w:hAnsi="Times New Roman" w:cs="Times New Roman"/>
          <w:sz w:val="22"/>
          <w:szCs w:val="22"/>
        </w:rPr>
      </w:pPr>
      <w:r w:rsidRPr="001B4DAC">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AW/VPC agrees with ANR that </w:t>
      </w:r>
      <w:r w:rsidRPr="001B4DAC">
        <w:rPr>
          <w:rFonts w:ascii="Times New Roman" w:hAnsi="Times New Roman" w:cs="Times New Roman"/>
          <w:sz w:val="22"/>
          <w:szCs w:val="22"/>
        </w:rPr>
        <w:t>the Green River is not Tier II water, and AW/VPC does not seek approval for, or argue in favor of, lowering existing wat</w:t>
      </w:r>
      <w:r w:rsidRPr="00B22EF9">
        <w:rPr>
          <w:rFonts w:ascii="Times New Roman" w:hAnsi="Times New Roman" w:cs="Times New Roman"/>
          <w:sz w:val="22"/>
          <w:szCs w:val="22"/>
        </w:rPr>
        <w:t>e</w:t>
      </w:r>
      <w:r>
        <w:rPr>
          <w:rFonts w:ascii="Times New Roman" w:hAnsi="Times New Roman" w:cs="Times New Roman"/>
          <w:sz w:val="22"/>
          <w:szCs w:val="22"/>
        </w:rPr>
        <w:t>r quality in the Green River.  At the same time, it is important to note that m</w:t>
      </w:r>
      <w:r w:rsidRPr="00B22EF9">
        <w:rPr>
          <w:rFonts w:ascii="Times New Roman" w:hAnsi="Times New Roman" w:cs="Times New Roman"/>
          <w:sz w:val="22"/>
          <w:szCs w:val="22"/>
        </w:rPr>
        <w:t xml:space="preserve">aintaining the existing conditions that support whitewater boating will not lower </w:t>
      </w:r>
      <w:r>
        <w:rPr>
          <w:rFonts w:ascii="Times New Roman" w:hAnsi="Times New Roman" w:cs="Times New Roman"/>
          <w:sz w:val="22"/>
          <w:szCs w:val="22"/>
        </w:rPr>
        <w:t>existing water quality.  To the extent that ANR suggests anything to the contrary, that suggestion is neither supported by the evidence</w:t>
      </w:r>
      <w:r w:rsidR="001B4DAC">
        <w:rPr>
          <w:rFonts w:ascii="Times New Roman" w:hAnsi="Times New Roman" w:cs="Times New Roman"/>
          <w:sz w:val="22"/>
          <w:szCs w:val="22"/>
        </w:rPr>
        <w:t xml:space="preserve"> or testimony</w:t>
      </w:r>
      <w:r>
        <w:rPr>
          <w:rFonts w:ascii="Times New Roman" w:hAnsi="Times New Roman" w:cs="Times New Roman"/>
          <w:sz w:val="22"/>
          <w:szCs w:val="22"/>
        </w:rPr>
        <w:t xml:space="preserve"> introduced at trial nor the findings made by the Environmental Division.  </w:t>
      </w:r>
    </w:p>
  </w:footnote>
  <w:footnote w:id="7">
    <w:p w14:paraId="6315E0CD" w14:textId="25A42DB2" w:rsidR="00D9674F" w:rsidRPr="0058743C" w:rsidRDefault="00D9674F" w:rsidP="0058743C">
      <w:pPr>
        <w:pStyle w:val="FootnoteText"/>
        <w:spacing w:line="240" w:lineRule="auto"/>
        <w:rPr>
          <w:rFonts w:ascii="Times New Roman" w:hAnsi="Times New Roman" w:cs="Times New Roman"/>
          <w:sz w:val="22"/>
          <w:szCs w:val="22"/>
          <w:lang w:val="en-US"/>
        </w:rPr>
      </w:pPr>
      <w:r w:rsidRPr="0058743C">
        <w:rPr>
          <w:rStyle w:val="FootnoteReference"/>
          <w:rFonts w:ascii="Times New Roman" w:hAnsi="Times New Roman" w:cs="Times New Roman"/>
          <w:sz w:val="22"/>
          <w:szCs w:val="22"/>
        </w:rPr>
        <w:footnoteRef/>
      </w:r>
      <w:r w:rsidRPr="0058743C">
        <w:rPr>
          <w:rFonts w:ascii="Times New Roman" w:hAnsi="Times New Roman" w:cs="Times New Roman"/>
          <w:sz w:val="22"/>
          <w:szCs w:val="22"/>
        </w:rPr>
        <w:t xml:space="preserve"> </w:t>
      </w:r>
      <w:r w:rsidRPr="00480795">
        <w:rPr>
          <w:rFonts w:ascii="Times New Roman" w:hAnsi="Times New Roman" w:cs="Times New Roman"/>
          <w:sz w:val="22"/>
          <w:szCs w:val="22"/>
          <w:lang w:val="en-US"/>
        </w:rPr>
        <w:t>Again, and most importantly, these misconstructions are irrelevant regarding whitewater boating because the</w:t>
      </w:r>
      <w:r>
        <w:rPr>
          <w:rFonts w:ascii="Times New Roman" w:hAnsi="Times New Roman" w:cs="Times New Roman"/>
          <w:sz w:val="22"/>
          <w:szCs w:val="22"/>
          <w:lang w:val="en-US"/>
        </w:rPr>
        <w:t>re is nothing in the underlying</w:t>
      </w:r>
      <w:r w:rsidRPr="0058743C">
        <w:rPr>
          <w:rFonts w:ascii="Times New Roman" w:hAnsi="Times New Roman" w:cs="Times New Roman"/>
          <w:sz w:val="22"/>
          <w:szCs w:val="22"/>
          <w:lang w:val="en-US"/>
        </w:rPr>
        <w:t xml:space="preserve"> facts </w:t>
      </w:r>
      <w:r>
        <w:rPr>
          <w:rFonts w:ascii="Times New Roman" w:hAnsi="Times New Roman" w:cs="Times New Roman"/>
          <w:sz w:val="22"/>
          <w:szCs w:val="22"/>
          <w:lang w:val="en-US"/>
        </w:rPr>
        <w:t>supporting the idea that conditions necessary to support whitewater boating are at odds with conditions required to support other existing or designated uses</w:t>
      </w:r>
      <w:r w:rsidRPr="0058743C">
        <w:rPr>
          <w:rFonts w:ascii="Times New Roman" w:hAnsi="Times New Roman" w:cs="Times New Roman"/>
          <w:sz w:val="22"/>
          <w:szCs w:val="22"/>
          <w:lang w:val="en-US"/>
        </w:rPr>
        <w:t xml:space="preserve">. </w:t>
      </w:r>
    </w:p>
  </w:footnote>
  <w:footnote w:id="8">
    <w:p w14:paraId="41DE7F44" w14:textId="6D83A972" w:rsidR="00D9674F" w:rsidRPr="0058743C" w:rsidRDefault="00D9674F" w:rsidP="0058743C">
      <w:pPr>
        <w:pStyle w:val="FootnoteText"/>
        <w:spacing w:line="240" w:lineRule="auto"/>
        <w:rPr>
          <w:rFonts w:ascii="Times New Roman" w:hAnsi="Times New Roman" w:cs="Times New Roman"/>
          <w:sz w:val="22"/>
          <w:szCs w:val="22"/>
          <w:lang w:val="en-US"/>
        </w:rPr>
      </w:pPr>
      <w:r w:rsidRPr="0058743C">
        <w:rPr>
          <w:rStyle w:val="FootnoteReference"/>
          <w:rFonts w:ascii="Times New Roman" w:hAnsi="Times New Roman" w:cs="Times New Roman"/>
          <w:sz w:val="22"/>
          <w:szCs w:val="22"/>
        </w:rPr>
        <w:footnoteRef/>
      </w:r>
      <w:r w:rsidRPr="0058743C">
        <w:rPr>
          <w:rFonts w:ascii="Times New Roman" w:hAnsi="Times New Roman" w:cs="Times New Roman"/>
          <w:sz w:val="22"/>
          <w:szCs w:val="22"/>
        </w:rPr>
        <w:t xml:space="preserve"> </w:t>
      </w:r>
      <w:r w:rsidRPr="0058743C">
        <w:rPr>
          <w:rFonts w:ascii="Times New Roman" w:hAnsi="Times New Roman" w:cs="Times New Roman"/>
          <w:sz w:val="22"/>
          <w:szCs w:val="22"/>
          <w:lang w:val="en-US"/>
        </w:rPr>
        <w:t xml:space="preserve">Again, </w:t>
      </w:r>
      <w:r>
        <w:rPr>
          <w:rFonts w:ascii="Times New Roman" w:hAnsi="Times New Roman" w:cs="Times New Roman"/>
          <w:sz w:val="22"/>
          <w:szCs w:val="22"/>
          <w:lang w:val="en-US"/>
        </w:rPr>
        <w:t xml:space="preserve">there is no factual basis to support the idea that there is a conflict between whitewater boating and other uses.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D0C7" w14:textId="77777777" w:rsidR="00D9674F" w:rsidRDefault="00D9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EAFB" w14:textId="77777777" w:rsidR="00D9674F" w:rsidRDefault="00D96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D07F" w14:textId="77777777" w:rsidR="00D9674F" w:rsidRDefault="00D9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8C1"/>
    <w:multiLevelType w:val="hybridMultilevel"/>
    <w:tmpl w:val="CD3E6E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202309"/>
    <w:multiLevelType w:val="hybridMultilevel"/>
    <w:tmpl w:val="31C253D0"/>
    <w:lvl w:ilvl="0" w:tplc="04090013">
      <w:start w:val="1"/>
      <w:numFmt w:val="upperRoman"/>
      <w:lvlText w:val="%1."/>
      <w:lvlJc w:val="right"/>
      <w:pPr>
        <w:ind w:left="720" w:hanging="360"/>
      </w:pPr>
    </w:lvl>
    <w:lvl w:ilvl="1" w:tplc="A94A2328">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72826"/>
    <w:multiLevelType w:val="hybridMultilevel"/>
    <w:tmpl w:val="8E96B278"/>
    <w:lvl w:ilvl="0" w:tplc="437E8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A4F0E"/>
    <w:multiLevelType w:val="hybridMultilevel"/>
    <w:tmpl w:val="B4269FE8"/>
    <w:lvl w:ilvl="0" w:tplc="F89628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8D4881"/>
    <w:multiLevelType w:val="hybridMultilevel"/>
    <w:tmpl w:val="90EE9594"/>
    <w:lvl w:ilvl="0" w:tplc="CEF2BF66">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2B77A9"/>
    <w:multiLevelType w:val="hybridMultilevel"/>
    <w:tmpl w:val="76528B0E"/>
    <w:lvl w:ilvl="0" w:tplc="793A294A">
      <w:start w:val="1"/>
      <w:numFmt w:val="upperRoman"/>
      <w:pStyle w:val="Heading2"/>
      <w:lvlText w:val="%1."/>
      <w:lvlJc w:val="left"/>
      <w:pPr>
        <w:ind w:left="1080" w:hanging="720"/>
      </w:pPr>
      <w:rPr>
        <w:rFonts w:hint="default"/>
      </w:rPr>
    </w:lvl>
    <w:lvl w:ilvl="1" w:tplc="BE706C76">
      <w:start w:val="1"/>
      <w:numFmt w:val="lowerLetter"/>
      <w:pStyle w:val="Heading3"/>
      <w:lvlText w:val="%2."/>
      <w:lvlJc w:val="left"/>
      <w:pPr>
        <w:ind w:left="1440" w:hanging="360"/>
      </w:pPr>
    </w:lvl>
    <w:lvl w:ilvl="2" w:tplc="02AAA968">
      <w:start w:val="1"/>
      <w:numFmt w:val="lowerRoman"/>
      <w:pStyle w:val="Heading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01BC9"/>
    <w:multiLevelType w:val="hybridMultilevel"/>
    <w:tmpl w:val="8F9CFA26"/>
    <w:lvl w:ilvl="0" w:tplc="452AB9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num>
  <w:num w:numId="4">
    <w:abstractNumId w:val="3"/>
  </w:num>
  <w:num w:numId="5">
    <w:abstractNumId w:val="4"/>
  </w:num>
  <w:num w:numId="6">
    <w:abstractNumId w:val="6"/>
  </w:num>
  <w:num w:numId="7">
    <w:abstractNumId w:val="1"/>
  </w:num>
  <w:num w:numId="8">
    <w:abstractNumId w:val="4"/>
    <w:lvlOverride w:ilvl="0">
      <w:startOverride w:val="1"/>
    </w:lvlOverride>
  </w:num>
  <w:num w:numId="9">
    <w:abstractNumId w:val="4"/>
  </w:num>
  <w:num w:numId="10">
    <w:abstractNumId w:val="6"/>
  </w:num>
  <w:num w:numId="11">
    <w:abstractNumId w:val="4"/>
    <w:lvlOverride w:ilvl="0">
      <w:startOverride w:val="1"/>
    </w:lvlOverride>
  </w:num>
  <w:num w:numId="12">
    <w:abstractNumId w:val="6"/>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6"/>
    <w:lvlOverride w:ilvl="0">
      <w:startOverride w:val="1"/>
    </w:lvlOverride>
  </w:num>
  <w:num w:numId="20">
    <w:abstractNumId w:val="5"/>
  </w:num>
  <w:num w:numId="2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8"/>
    <w:rsid w:val="0000341E"/>
    <w:rsid w:val="000046D3"/>
    <w:rsid w:val="00022954"/>
    <w:rsid w:val="00036509"/>
    <w:rsid w:val="000453C6"/>
    <w:rsid w:val="000519FF"/>
    <w:rsid w:val="000566F1"/>
    <w:rsid w:val="00061D1C"/>
    <w:rsid w:val="00065CD1"/>
    <w:rsid w:val="00073C72"/>
    <w:rsid w:val="00073FC6"/>
    <w:rsid w:val="00081299"/>
    <w:rsid w:val="00085755"/>
    <w:rsid w:val="000A5365"/>
    <w:rsid w:val="000B4824"/>
    <w:rsid w:val="000B5427"/>
    <w:rsid w:val="000B6A2A"/>
    <w:rsid w:val="000E126A"/>
    <w:rsid w:val="000E5CB8"/>
    <w:rsid w:val="001423C9"/>
    <w:rsid w:val="001719F3"/>
    <w:rsid w:val="001A1612"/>
    <w:rsid w:val="001A4488"/>
    <w:rsid w:val="001B4DAC"/>
    <w:rsid w:val="001E00F1"/>
    <w:rsid w:val="001E4AC5"/>
    <w:rsid w:val="00227491"/>
    <w:rsid w:val="002346AB"/>
    <w:rsid w:val="00266CF2"/>
    <w:rsid w:val="002741A2"/>
    <w:rsid w:val="00287273"/>
    <w:rsid w:val="00287FB0"/>
    <w:rsid w:val="002D5074"/>
    <w:rsid w:val="002E7381"/>
    <w:rsid w:val="00322498"/>
    <w:rsid w:val="00342A4A"/>
    <w:rsid w:val="003531C0"/>
    <w:rsid w:val="0036281E"/>
    <w:rsid w:val="003770E2"/>
    <w:rsid w:val="00380326"/>
    <w:rsid w:val="00391EA3"/>
    <w:rsid w:val="00396202"/>
    <w:rsid w:val="003A61A6"/>
    <w:rsid w:val="003C1B15"/>
    <w:rsid w:val="003C350A"/>
    <w:rsid w:val="003D51EB"/>
    <w:rsid w:val="003E5A16"/>
    <w:rsid w:val="00412CE3"/>
    <w:rsid w:val="00421E29"/>
    <w:rsid w:val="0042658A"/>
    <w:rsid w:val="00436B89"/>
    <w:rsid w:val="00442FAD"/>
    <w:rsid w:val="00447A5F"/>
    <w:rsid w:val="00453E99"/>
    <w:rsid w:val="00456E2C"/>
    <w:rsid w:val="004647FD"/>
    <w:rsid w:val="00477A8E"/>
    <w:rsid w:val="00480795"/>
    <w:rsid w:val="00482CEF"/>
    <w:rsid w:val="004B6479"/>
    <w:rsid w:val="004F02AF"/>
    <w:rsid w:val="00506443"/>
    <w:rsid w:val="00512B47"/>
    <w:rsid w:val="00572645"/>
    <w:rsid w:val="0058743C"/>
    <w:rsid w:val="00587B14"/>
    <w:rsid w:val="00590F70"/>
    <w:rsid w:val="005C0FC8"/>
    <w:rsid w:val="005C1D00"/>
    <w:rsid w:val="005C61CC"/>
    <w:rsid w:val="005D01D3"/>
    <w:rsid w:val="005E3FBF"/>
    <w:rsid w:val="006072D0"/>
    <w:rsid w:val="00612549"/>
    <w:rsid w:val="006272F9"/>
    <w:rsid w:val="006335E4"/>
    <w:rsid w:val="00634784"/>
    <w:rsid w:val="00644732"/>
    <w:rsid w:val="00671AC2"/>
    <w:rsid w:val="0068345F"/>
    <w:rsid w:val="00690BB0"/>
    <w:rsid w:val="00696363"/>
    <w:rsid w:val="006A4BB1"/>
    <w:rsid w:val="006B00C4"/>
    <w:rsid w:val="006B0A16"/>
    <w:rsid w:val="006C44F4"/>
    <w:rsid w:val="006C762D"/>
    <w:rsid w:val="006D068D"/>
    <w:rsid w:val="006D2E87"/>
    <w:rsid w:val="006F47DC"/>
    <w:rsid w:val="00706750"/>
    <w:rsid w:val="0071494D"/>
    <w:rsid w:val="0073464A"/>
    <w:rsid w:val="00735FF6"/>
    <w:rsid w:val="00740620"/>
    <w:rsid w:val="00742AE3"/>
    <w:rsid w:val="007475C4"/>
    <w:rsid w:val="00752AD0"/>
    <w:rsid w:val="007631E1"/>
    <w:rsid w:val="007727FD"/>
    <w:rsid w:val="0079407B"/>
    <w:rsid w:val="007C5496"/>
    <w:rsid w:val="007C5893"/>
    <w:rsid w:val="007D3AF2"/>
    <w:rsid w:val="007F6703"/>
    <w:rsid w:val="0082478D"/>
    <w:rsid w:val="008332BC"/>
    <w:rsid w:val="0083424C"/>
    <w:rsid w:val="00852B19"/>
    <w:rsid w:val="0086580A"/>
    <w:rsid w:val="00891931"/>
    <w:rsid w:val="00894402"/>
    <w:rsid w:val="0089584C"/>
    <w:rsid w:val="008C1743"/>
    <w:rsid w:val="008E6286"/>
    <w:rsid w:val="008F07F2"/>
    <w:rsid w:val="008F3809"/>
    <w:rsid w:val="008F43FC"/>
    <w:rsid w:val="009026F1"/>
    <w:rsid w:val="00917405"/>
    <w:rsid w:val="00936B79"/>
    <w:rsid w:val="00960B45"/>
    <w:rsid w:val="00966185"/>
    <w:rsid w:val="00966236"/>
    <w:rsid w:val="00971EDA"/>
    <w:rsid w:val="00983CAD"/>
    <w:rsid w:val="00983D0F"/>
    <w:rsid w:val="0099316E"/>
    <w:rsid w:val="009A5209"/>
    <w:rsid w:val="009A5F7F"/>
    <w:rsid w:val="009A7098"/>
    <w:rsid w:val="009D3251"/>
    <w:rsid w:val="009D5D22"/>
    <w:rsid w:val="009E5C52"/>
    <w:rsid w:val="009F4976"/>
    <w:rsid w:val="009F54B7"/>
    <w:rsid w:val="00A0741E"/>
    <w:rsid w:val="00A115E4"/>
    <w:rsid w:val="00A42EB7"/>
    <w:rsid w:val="00A513EC"/>
    <w:rsid w:val="00A543B7"/>
    <w:rsid w:val="00A82EB2"/>
    <w:rsid w:val="00A837E0"/>
    <w:rsid w:val="00A96C8B"/>
    <w:rsid w:val="00AC107F"/>
    <w:rsid w:val="00AD14B8"/>
    <w:rsid w:val="00AF4902"/>
    <w:rsid w:val="00B06CA3"/>
    <w:rsid w:val="00B22EF9"/>
    <w:rsid w:val="00B77908"/>
    <w:rsid w:val="00B81865"/>
    <w:rsid w:val="00B939AA"/>
    <w:rsid w:val="00BB22A9"/>
    <w:rsid w:val="00BC3162"/>
    <w:rsid w:val="00BC3ED0"/>
    <w:rsid w:val="00BE3898"/>
    <w:rsid w:val="00BF68F5"/>
    <w:rsid w:val="00C04E53"/>
    <w:rsid w:val="00C05BED"/>
    <w:rsid w:val="00C1053C"/>
    <w:rsid w:val="00C40408"/>
    <w:rsid w:val="00C449E0"/>
    <w:rsid w:val="00C5503D"/>
    <w:rsid w:val="00C60268"/>
    <w:rsid w:val="00C738AC"/>
    <w:rsid w:val="00C76012"/>
    <w:rsid w:val="00C96EE5"/>
    <w:rsid w:val="00CA75E3"/>
    <w:rsid w:val="00CC4BAD"/>
    <w:rsid w:val="00CC4CD4"/>
    <w:rsid w:val="00CE1F2B"/>
    <w:rsid w:val="00CF3687"/>
    <w:rsid w:val="00D01007"/>
    <w:rsid w:val="00D03FB1"/>
    <w:rsid w:val="00D05E43"/>
    <w:rsid w:val="00D327E7"/>
    <w:rsid w:val="00D42028"/>
    <w:rsid w:val="00D54BF9"/>
    <w:rsid w:val="00D54D86"/>
    <w:rsid w:val="00D65506"/>
    <w:rsid w:val="00D90DA6"/>
    <w:rsid w:val="00D95C70"/>
    <w:rsid w:val="00D9674F"/>
    <w:rsid w:val="00DC7C81"/>
    <w:rsid w:val="00DD4872"/>
    <w:rsid w:val="00DF122F"/>
    <w:rsid w:val="00DF1F00"/>
    <w:rsid w:val="00DF2B36"/>
    <w:rsid w:val="00E06314"/>
    <w:rsid w:val="00E36C28"/>
    <w:rsid w:val="00E90534"/>
    <w:rsid w:val="00EA7522"/>
    <w:rsid w:val="00EB1746"/>
    <w:rsid w:val="00ED37FC"/>
    <w:rsid w:val="00ED5E65"/>
    <w:rsid w:val="00F023D6"/>
    <w:rsid w:val="00F03C34"/>
    <w:rsid w:val="00F068E0"/>
    <w:rsid w:val="00F320F2"/>
    <w:rsid w:val="00F72B23"/>
    <w:rsid w:val="00F81054"/>
    <w:rsid w:val="00F81F67"/>
    <w:rsid w:val="00F8656A"/>
    <w:rsid w:val="00F871F4"/>
    <w:rsid w:val="00F90917"/>
    <w:rsid w:val="00FA1899"/>
    <w:rsid w:val="00FA1A9F"/>
    <w:rsid w:val="00FA7200"/>
    <w:rsid w:val="00FB1F83"/>
    <w:rsid w:val="00FB41CD"/>
    <w:rsid w:val="00FB4540"/>
    <w:rsid w:val="00FC25D1"/>
    <w:rsid w:val="00FD0690"/>
    <w:rsid w:val="00FF1F9C"/>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06F2"/>
  <w15:chartTrackingRefBased/>
  <w15:docId w15:val="{4DA8BC91-DD71-41BC-BB12-08C0E2D2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C8B"/>
    <w:pPr>
      <w:spacing w:line="480" w:lineRule="auto"/>
      <w:ind w:firstLine="720"/>
      <w:jc w:val="both"/>
    </w:pPr>
    <w:rPr>
      <w:rFonts w:ascii="Garamond" w:eastAsia="Arial" w:hAnsi="Garamond" w:cs="Arial"/>
      <w:sz w:val="24"/>
      <w:szCs w:val="24"/>
      <w:lang w:val="en"/>
    </w:rPr>
  </w:style>
  <w:style w:type="paragraph" w:styleId="Heading1">
    <w:name w:val="heading 1"/>
    <w:basedOn w:val="Normal"/>
    <w:next w:val="Normal"/>
    <w:link w:val="Heading1Char"/>
    <w:uiPriority w:val="9"/>
    <w:qFormat/>
    <w:rsid w:val="003D51EB"/>
    <w:pPr>
      <w:ind w:firstLine="0"/>
      <w:jc w:val="center"/>
      <w:outlineLvl w:val="0"/>
    </w:pPr>
  </w:style>
  <w:style w:type="paragraph" w:styleId="Heading2">
    <w:name w:val="heading 2"/>
    <w:basedOn w:val="ListParagraph"/>
    <w:next w:val="Normal"/>
    <w:link w:val="Heading2Char"/>
    <w:uiPriority w:val="9"/>
    <w:qFormat/>
    <w:rsid w:val="000B5427"/>
    <w:pPr>
      <w:keepNext/>
      <w:keepLines/>
      <w:numPr>
        <w:numId w:val="20"/>
      </w:numPr>
      <w:spacing w:after="240" w:line="240" w:lineRule="auto"/>
      <w:contextualSpacing w:val="0"/>
      <w:outlineLvl w:val="1"/>
    </w:pPr>
    <w:rPr>
      <w:rFonts w:ascii="Times New Roman" w:hAnsi="Times New Roman" w:cs="Times New Roman"/>
      <w:b/>
    </w:rPr>
  </w:style>
  <w:style w:type="paragraph" w:styleId="Heading3">
    <w:name w:val="heading 3"/>
    <w:basedOn w:val="Heading2"/>
    <w:next w:val="Normal"/>
    <w:link w:val="Heading3Char"/>
    <w:uiPriority w:val="9"/>
    <w:unhideWhenUsed/>
    <w:qFormat/>
    <w:rsid w:val="003D51EB"/>
    <w:pPr>
      <w:numPr>
        <w:ilvl w:val="1"/>
      </w:numPr>
      <w:outlineLvl w:val="2"/>
    </w:pPr>
  </w:style>
  <w:style w:type="paragraph" w:styleId="Heading4">
    <w:name w:val="heading 4"/>
    <w:basedOn w:val="Heading3"/>
    <w:next w:val="Normal"/>
    <w:link w:val="Heading4Char"/>
    <w:uiPriority w:val="9"/>
    <w:unhideWhenUsed/>
    <w:qFormat/>
    <w:rsid w:val="000B5427"/>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5427"/>
    <w:rPr>
      <w:rFonts w:ascii="Times New Roman" w:eastAsia="Arial" w:hAnsi="Times New Roman" w:cs="Times New Roman"/>
      <w:b/>
      <w:sz w:val="24"/>
      <w:szCs w:val="24"/>
      <w:lang w:val="en"/>
    </w:rPr>
  </w:style>
  <w:style w:type="paragraph" w:styleId="FootnoteText">
    <w:name w:val="footnote text"/>
    <w:basedOn w:val="Normal"/>
    <w:link w:val="FootnoteTextChar"/>
    <w:uiPriority w:val="99"/>
    <w:unhideWhenUsed/>
    <w:rsid w:val="000E5CB8"/>
    <w:rPr>
      <w:rFonts w:ascii="Arial" w:hAnsi="Arial"/>
      <w:sz w:val="20"/>
      <w:szCs w:val="20"/>
    </w:rPr>
  </w:style>
  <w:style w:type="character" w:customStyle="1" w:styleId="FootnoteTextChar">
    <w:name w:val="Footnote Text Char"/>
    <w:basedOn w:val="DefaultParagraphFont"/>
    <w:link w:val="FootnoteText"/>
    <w:uiPriority w:val="99"/>
    <w:rsid w:val="000E5CB8"/>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0E5CB8"/>
    <w:rPr>
      <w:vertAlign w:val="superscript"/>
    </w:rPr>
  </w:style>
  <w:style w:type="character" w:styleId="CommentReference">
    <w:name w:val="annotation reference"/>
    <w:basedOn w:val="DefaultParagraphFont"/>
    <w:uiPriority w:val="99"/>
    <w:semiHidden/>
    <w:unhideWhenUsed/>
    <w:rsid w:val="000E5CB8"/>
    <w:rPr>
      <w:sz w:val="16"/>
      <w:szCs w:val="16"/>
    </w:rPr>
  </w:style>
  <w:style w:type="paragraph" w:styleId="CommentText">
    <w:name w:val="annotation text"/>
    <w:basedOn w:val="Normal"/>
    <w:link w:val="CommentTextChar"/>
    <w:uiPriority w:val="99"/>
    <w:unhideWhenUsed/>
    <w:rsid w:val="000E5CB8"/>
    <w:rPr>
      <w:rFonts w:ascii="Arial" w:hAnsi="Arial"/>
      <w:sz w:val="20"/>
      <w:szCs w:val="20"/>
    </w:rPr>
  </w:style>
  <w:style w:type="character" w:customStyle="1" w:styleId="CommentTextChar">
    <w:name w:val="Comment Text Char"/>
    <w:basedOn w:val="DefaultParagraphFont"/>
    <w:link w:val="CommentText"/>
    <w:uiPriority w:val="99"/>
    <w:rsid w:val="000E5CB8"/>
    <w:rPr>
      <w:rFonts w:ascii="Arial" w:eastAsia="Arial" w:hAnsi="Arial" w:cs="Arial"/>
      <w:sz w:val="20"/>
      <w:szCs w:val="20"/>
      <w:lang w:val="en"/>
    </w:rPr>
  </w:style>
  <w:style w:type="paragraph" w:styleId="ListParagraph">
    <w:name w:val="List Paragraph"/>
    <w:basedOn w:val="Normal"/>
    <w:uiPriority w:val="34"/>
    <w:qFormat/>
    <w:rsid w:val="000E5CB8"/>
    <w:pPr>
      <w:ind w:left="720"/>
      <w:contextualSpacing/>
    </w:pPr>
  </w:style>
  <w:style w:type="paragraph" w:styleId="BalloonText">
    <w:name w:val="Balloon Text"/>
    <w:basedOn w:val="Normal"/>
    <w:link w:val="BalloonTextChar"/>
    <w:uiPriority w:val="99"/>
    <w:semiHidden/>
    <w:unhideWhenUsed/>
    <w:rsid w:val="000E5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B8"/>
    <w:rPr>
      <w:rFonts w:ascii="Segoe UI" w:hAnsi="Segoe UI" w:cs="Segoe UI"/>
      <w:sz w:val="18"/>
      <w:szCs w:val="18"/>
    </w:rPr>
  </w:style>
  <w:style w:type="character" w:customStyle="1" w:styleId="Heading1Char">
    <w:name w:val="Heading 1 Char"/>
    <w:basedOn w:val="DefaultParagraphFont"/>
    <w:link w:val="Heading1"/>
    <w:uiPriority w:val="9"/>
    <w:rsid w:val="003D51EB"/>
    <w:rPr>
      <w:rFonts w:ascii="Garamond" w:eastAsia="Arial" w:hAnsi="Garamond" w:cs="Arial"/>
      <w:sz w:val="24"/>
      <w:szCs w:val="24"/>
      <w:lang w:val="en"/>
    </w:rPr>
  </w:style>
  <w:style w:type="character" w:customStyle="1" w:styleId="Heading3Char">
    <w:name w:val="Heading 3 Char"/>
    <w:basedOn w:val="DefaultParagraphFont"/>
    <w:link w:val="Heading3"/>
    <w:uiPriority w:val="9"/>
    <w:rsid w:val="003D51EB"/>
    <w:rPr>
      <w:rFonts w:ascii="Garamond" w:eastAsia="Arial" w:hAnsi="Garamond" w:cs="Arial"/>
      <w:b/>
      <w:sz w:val="24"/>
      <w:szCs w:val="24"/>
      <w:lang w:val="en"/>
    </w:rPr>
  </w:style>
  <w:style w:type="paragraph" w:styleId="CommentSubject">
    <w:name w:val="annotation subject"/>
    <w:basedOn w:val="CommentText"/>
    <w:next w:val="CommentText"/>
    <w:link w:val="CommentSubjectChar"/>
    <w:uiPriority w:val="99"/>
    <w:semiHidden/>
    <w:unhideWhenUsed/>
    <w:rsid w:val="006B00C4"/>
    <w:pPr>
      <w:spacing w:line="240" w:lineRule="auto"/>
    </w:pPr>
    <w:rPr>
      <w:rFonts w:ascii="Garamond" w:hAnsi="Garamond"/>
      <w:b/>
      <w:bCs/>
    </w:rPr>
  </w:style>
  <w:style w:type="character" w:customStyle="1" w:styleId="CommentSubjectChar">
    <w:name w:val="Comment Subject Char"/>
    <w:basedOn w:val="CommentTextChar"/>
    <w:link w:val="CommentSubject"/>
    <w:uiPriority w:val="99"/>
    <w:semiHidden/>
    <w:rsid w:val="006B00C4"/>
    <w:rPr>
      <w:rFonts w:ascii="Garamond" w:eastAsia="Arial" w:hAnsi="Garamond" w:cs="Arial"/>
      <w:b/>
      <w:bCs/>
      <w:sz w:val="20"/>
      <w:szCs w:val="20"/>
      <w:lang w:val="en"/>
    </w:rPr>
  </w:style>
  <w:style w:type="character" w:styleId="Hyperlink">
    <w:name w:val="Hyperlink"/>
    <w:basedOn w:val="DefaultParagraphFont"/>
    <w:uiPriority w:val="99"/>
    <w:unhideWhenUsed/>
    <w:rsid w:val="00A115E4"/>
    <w:rPr>
      <w:color w:val="0563C1" w:themeColor="hyperlink"/>
      <w:u w:val="single"/>
    </w:rPr>
  </w:style>
  <w:style w:type="character" w:styleId="UnresolvedMention">
    <w:name w:val="Unresolved Mention"/>
    <w:basedOn w:val="DefaultParagraphFont"/>
    <w:uiPriority w:val="99"/>
    <w:semiHidden/>
    <w:unhideWhenUsed/>
    <w:rsid w:val="00A115E4"/>
    <w:rPr>
      <w:color w:val="808080"/>
      <w:shd w:val="clear" w:color="auto" w:fill="E6E6E6"/>
    </w:rPr>
  </w:style>
  <w:style w:type="paragraph" w:styleId="Header">
    <w:name w:val="header"/>
    <w:basedOn w:val="Normal"/>
    <w:link w:val="HeaderChar"/>
    <w:uiPriority w:val="99"/>
    <w:unhideWhenUsed/>
    <w:rsid w:val="00FF1F9C"/>
    <w:pPr>
      <w:tabs>
        <w:tab w:val="center" w:pos="4680"/>
        <w:tab w:val="right" w:pos="9360"/>
      </w:tabs>
      <w:spacing w:line="240" w:lineRule="auto"/>
    </w:pPr>
  </w:style>
  <w:style w:type="character" w:customStyle="1" w:styleId="HeaderChar">
    <w:name w:val="Header Char"/>
    <w:basedOn w:val="DefaultParagraphFont"/>
    <w:link w:val="Header"/>
    <w:uiPriority w:val="99"/>
    <w:rsid w:val="00FF1F9C"/>
    <w:rPr>
      <w:rFonts w:ascii="Garamond" w:eastAsia="Arial" w:hAnsi="Garamond" w:cs="Arial"/>
      <w:sz w:val="24"/>
      <w:szCs w:val="24"/>
      <w:lang w:val="en"/>
    </w:rPr>
  </w:style>
  <w:style w:type="paragraph" w:styleId="Footer">
    <w:name w:val="footer"/>
    <w:basedOn w:val="Normal"/>
    <w:link w:val="FooterChar"/>
    <w:uiPriority w:val="99"/>
    <w:unhideWhenUsed/>
    <w:rsid w:val="00FF1F9C"/>
    <w:pPr>
      <w:tabs>
        <w:tab w:val="center" w:pos="4680"/>
        <w:tab w:val="right" w:pos="9360"/>
      </w:tabs>
      <w:spacing w:line="240" w:lineRule="auto"/>
    </w:pPr>
  </w:style>
  <w:style w:type="character" w:customStyle="1" w:styleId="FooterChar">
    <w:name w:val="Footer Char"/>
    <w:basedOn w:val="DefaultParagraphFont"/>
    <w:link w:val="Footer"/>
    <w:uiPriority w:val="99"/>
    <w:rsid w:val="00FF1F9C"/>
    <w:rPr>
      <w:rFonts w:ascii="Garamond" w:eastAsia="Arial" w:hAnsi="Garamond" w:cs="Arial"/>
      <w:sz w:val="24"/>
      <w:szCs w:val="24"/>
      <w:lang w:val="en"/>
    </w:rPr>
  </w:style>
  <w:style w:type="paragraph" w:styleId="TOCHeading">
    <w:name w:val="TOC Heading"/>
    <w:basedOn w:val="Heading1"/>
    <w:next w:val="Normal"/>
    <w:uiPriority w:val="39"/>
    <w:unhideWhenUsed/>
    <w:qFormat/>
    <w:rsid w:val="00C1053C"/>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C1053C"/>
    <w:pPr>
      <w:spacing w:after="100"/>
    </w:pPr>
  </w:style>
  <w:style w:type="paragraph" w:styleId="TOC2">
    <w:name w:val="toc 2"/>
    <w:basedOn w:val="Normal"/>
    <w:next w:val="Normal"/>
    <w:autoRedefine/>
    <w:uiPriority w:val="39"/>
    <w:unhideWhenUsed/>
    <w:rsid w:val="000B5427"/>
    <w:pPr>
      <w:tabs>
        <w:tab w:val="left" w:pos="1890"/>
        <w:tab w:val="right" w:leader="dot" w:pos="9350"/>
      </w:tabs>
      <w:spacing w:after="100"/>
      <w:ind w:left="1710" w:hanging="450"/>
    </w:pPr>
  </w:style>
  <w:style w:type="paragraph" w:styleId="TOC3">
    <w:name w:val="toc 3"/>
    <w:basedOn w:val="Normal"/>
    <w:next w:val="Normal"/>
    <w:autoRedefine/>
    <w:uiPriority w:val="39"/>
    <w:unhideWhenUsed/>
    <w:rsid w:val="000B5427"/>
    <w:pPr>
      <w:tabs>
        <w:tab w:val="left" w:pos="1760"/>
        <w:tab w:val="right" w:leader="dot" w:pos="9350"/>
      </w:tabs>
      <w:spacing w:after="100" w:line="240" w:lineRule="auto"/>
      <w:ind w:left="2160" w:hanging="450"/>
    </w:pPr>
  </w:style>
  <w:style w:type="paragraph" w:styleId="TOAHeading">
    <w:name w:val="toa heading"/>
    <w:basedOn w:val="Normal"/>
    <w:next w:val="Normal"/>
    <w:uiPriority w:val="99"/>
    <w:unhideWhenUsed/>
    <w:rsid w:val="008F43FC"/>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8F43FC"/>
    <w:pPr>
      <w:ind w:left="240" w:hanging="240"/>
    </w:pPr>
  </w:style>
  <w:style w:type="character" w:customStyle="1" w:styleId="Heading4Char">
    <w:name w:val="Heading 4 Char"/>
    <w:basedOn w:val="DefaultParagraphFont"/>
    <w:link w:val="Heading4"/>
    <w:uiPriority w:val="9"/>
    <w:rsid w:val="000B5427"/>
    <w:rPr>
      <w:rFonts w:ascii="Times New Roman" w:eastAsia="Arial" w:hAnsi="Times New Roman" w:cs="Times New Roman"/>
      <w:b/>
      <w:sz w:val="24"/>
      <w:szCs w:val="24"/>
      <w:lang w:val="en"/>
    </w:rPr>
  </w:style>
  <w:style w:type="paragraph" w:styleId="Revision">
    <w:name w:val="Revision"/>
    <w:hidden/>
    <w:uiPriority w:val="99"/>
    <w:semiHidden/>
    <w:rsid w:val="00F90917"/>
    <w:rPr>
      <w:rFonts w:ascii="Garamond" w:eastAsia="Arial" w:hAnsi="Garamond" w:cs="Arial"/>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212">
      <w:bodyDiv w:val="1"/>
      <w:marLeft w:val="0"/>
      <w:marRight w:val="0"/>
      <w:marTop w:val="0"/>
      <w:marBottom w:val="0"/>
      <w:divBdr>
        <w:top w:val="none" w:sz="0" w:space="0" w:color="auto"/>
        <w:left w:val="none" w:sz="0" w:space="0" w:color="auto"/>
        <w:bottom w:val="none" w:sz="0" w:space="0" w:color="auto"/>
        <w:right w:val="none" w:sz="0" w:space="0" w:color="auto"/>
      </w:divBdr>
    </w:div>
    <w:div w:id="245307905">
      <w:bodyDiv w:val="1"/>
      <w:marLeft w:val="0"/>
      <w:marRight w:val="0"/>
      <w:marTop w:val="0"/>
      <w:marBottom w:val="0"/>
      <w:divBdr>
        <w:top w:val="none" w:sz="0" w:space="0" w:color="auto"/>
        <w:left w:val="none" w:sz="0" w:space="0" w:color="auto"/>
        <w:bottom w:val="none" w:sz="0" w:space="0" w:color="auto"/>
        <w:right w:val="none" w:sz="0" w:space="0" w:color="auto"/>
      </w:divBdr>
    </w:div>
    <w:div w:id="254411428">
      <w:bodyDiv w:val="1"/>
      <w:marLeft w:val="0"/>
      <w:marRight w:val="0"/>
      <w:marTop w:val="0"/>
      <w:marBottom w:val="0"/>
      <w:divBdr>
        <w:top w:val="none" w:sz="0" w:space="0" w:color="auto"/>
        <w:left w:val="none" w:sz="0" w:space="0" w:color="auto"/>
        <w:bottom w:val="none" w:sz="0" w:space="0" w:color="auto"/>
        <w:right w:val="none" w:sz="0" w:space="0" w:color="auto"/>
      </w:divBdr>
    </w:div>
    <w:div w:id="474222816">
      <w:bodyDiv w:val="1"/>
      <w:marLeft w:val="0"/>
      <w:marRight w:val="0"/>
      <w:marTop w:val="0"/>
      <w:marBottom w:val="0"/>
      <w:divBdr>
        <w:top w:val="none" w:sz="0" w:space="0" w:color="auto"/>
        <w:left w:val="none" w:sz="0" w:space="0" w:color="auto"/>
        <w:bottom w:val="none" w:sz="0" w:space="0" w:color="auto"/>
        <w:right w:val="none" w:sz="0" w:space="0" w:color="auto"/>
      </w:divBdr>
    </w:div>
    <w:div w:id="711416730">
      <w:bodyDiv w:val="1"/>
      <w:marLeft w:val="0"/>
      <w:marRight w:val="0"/>
      <w:marTop w:val="0"/>
      <w:marBottom w:val="0"/>
      <w:divBdr>
        <w:top w:val="none" w:sz="0" w:space="0" w:color="auto"/>
        <w:left w:val="none" w:sz="0" w:space="0" w:color="auto"/>
        <w:bottom w:val="none" w:sz="0" w:space="0" w:color="auto"/>
        <w:right w:val="none" w:sz="0" w:space="0" w:color="auto"/>
      </w:divBdr>
    </w:div>
    <w:div w:id="1180583263">
      <w:bodyDiv w:val="1"/>
      <w:marLeft w:val="0"/>
      <w:marRight w:val="0"/>
      <w:marTop w:val="0"/>
      <w:marBottom w:val="0"/>
      <w:divBdr>
        <w:top w:val="none" w:sz="0" w:space="0" w:color="auto"/>
        <w:left w:val="none" w:sz="0" w:space="0" w:color="auto"/>
        <w:bottom w:val="none" w:sz="0" w:space="0" w:color="auto"/>
        <w:right w:val="none" w:sz="0" w:space="0" w:color="auto"/>
      </w:divBdr>
    </w:div>
    <w:div w:id="1319454211">
      <w:bodyDiv w:val="1"/>
      <w:marLeft w:val="0"/>
      <w:marRight w:val="0"/>
      <w:marTop w:val="0"/>
      <w:marBottom w:val="0"/>
      <w:divBdr>
        <w:top w:val="none" w:sz="0" w:space="0" w:color="auto"/>
        <w:left w:val="none" w:sz="0" w:space="0" w:color="auto"/>
        <w:bottom w:val="none" w:sz="0" w:space="0" w:color="auto"/>
        <w:right w:val="none" w:sz="0" w:space="0" w:color="auto"/>
      </w:divBdr>
    </w:div>
    <w:div w:id="1367222427">
      <w:bodyDiv w:val="1"/>
      <w:marLeft w:val="0"/>
      <w:marRight w:val="0"/>
      <w:marTop w:val="0"/>
      <w:marBottom w:val="0"/>
      <w:divBdr>
        <w:top w:val="none" w:sz="0" w:space="0" w:color="auto"/>
        <w:left w:val="none" w:sz="0" w:space="0" w:color="auto"/>
        <w:bottom w:val="none" w:sz="0" w:space="0" w:color="auto"/>
        <w:right w:val="none" w:sz="0" w:space="0" w:color="auto"/>
      </w:divBdr>
    </w:div>
    <w:div w:id="1396970905">
      <w:bodyDiv w:val="1"/>
      <w:marLeft w:val="0"/>
      <w:marRight w:val="0"/>
      <w:marTop w:val="0"/>
      <w:marBottom w:val="0"/>
      <w:divBdr>
        <w:top w:val="none" w:sz="0" w:space="0" w:color="auto"/>
        <w:left w:val="none" w:sz="0" w:space="0" w:color="auto"/>
        <w:bottom w:val="none" w:sz="0" w:space="0" w:color="auto"/>
        <w:right w:val="none" w:sz="0" w:space="0" w:color="auto"/>
      </w:divBdr>
    </w:div>
    <w:div w:id="1401171140">
      <w:bodyDiv w:val="1"/>
      <w:marLeft w:val="0"/>
      <w:marRight w:val="0"/>
      <w:marTop w:val="0"/>
      <w:marBottom w:val="0"/>
      <w:divBdr>
        <w:top w:val="none" w:sz="0" w:space="0" w:color="auto"/>
        <w:left w:val="none" w:sz="0" w:space="0" w:color="auto"/>
        <w:bottom w:val="none" w:sz="0" w:space="0" w:color="auto"/>
        <w:right w:val="none" w:sz="0" w:space="0" w:color="auto"/>
      </w:divBdr>
    </w:div>
    <w:div w:id="1627809327">
      <w:bodyDiv w:val="1"/>
      <w:marLeft w:val="0"/>
      <w:marRight w:val="0"/>
      <w:marTop w:val="0"/>
      <w:marBottom w:val="0"/>
      <w:divBdr>
        <w:top w:val="none" w:sz="0" w:space="0" w:color="auto"/>
        <w:left w:val="none" w:sz="0" w:space="0" w:color="auto"/>
        <w:bottom w:val="none" w:sz="0" w:space="0" w:color="auto"/>
        <w:right w:val="none" w:sz="0" w:space="0" w:color="auto"/>
      </w:divBdr>
    </w:div>
    <w:div w:id="1683161788">
      <w:bodyDiv w:val="1"/>
      <w:marLeft w:val="0"/>
      <w:marRight w:val="0"/>
      <w:marTop w:val="0"/>
      <w:marBottom w:val="0"/>
      <w:divBdr>
        <w:top w:val="none" w:sz="0" w:space="0" w:color="auto"/>
        <w:left w:val="none" w:sz="0" w:space="0" w:color="auto"/>
        <w:bottom w:val="none" w:sz="0" w:space="0" w:color="auto"/>
        <w:right w:val="none" w:sz="0" w:space="0" w:color="auto"/>
      </w:divBdr>
    </w:div>
    <w:div w:id="1824195578">
      <w:bodyDiv w:val="1"/>
      <w:marLeft w:val="0"/>
      <w:marRight w:val="0"/>
      <w:marTop w:val="0"/>
      <w:marBottom w:val="0"/>
      <w:divBdr>
        <w:top w:val="none" w:sz="0" w:space="0" w:color="auto"/>
        <w:left w:val="none" w:sz="0" w:space="0" w:color="auto"/>
        <w:bottom w:val="none" w:sz="0" w:space="0" w:color="auto"/>
        <w:right w:val="none" w:sz="0" w:space="0" w:color="auto"/>
      </w:divBdr>
    </w:div>
    <w:div w:id="2036425554">
      <w:bodyDiv w:val="1"/>
      <w:marLeft w:val="0"/>
      <w:marRight w:val="0"/>
      <w:marTop w:val="0"/>
      <w:marBottom w:val="0"/>
      <w:divBdr>
        <w:top w:val="none" w:sz="0" w:space="0" w:color="auto"/>
        <w:left w:val="none" w:sz="0" w:space="0" w:color="auto"/>
        <w:bottom w:val="none" w:sz="0" w:space="0" w:color="auto"/>
        <w:right w:val="none" w:sz="0" w:space="0" w:color="auto"/>
      </w:divBdr>
    </w:div>
    <w:div w:id="2066441435">
      <w:bodyDiv w:val="1"/>
      <w:marLeft w:val="0"/>
      <w:marRight w:val="0"/>
      <w:marTop w:val="0"/>
      <w:marBottom w:val="0"/>
      <w:divBdr>
        <w:top w:val="none" w:sz="0" w:space="0" w:color="auto"/>
        <w:left w:val="none" w:sz="0" w:space="0" w:color="auto"/>
        <w:bottom w:val="none" w:sz="0" w:space="0" w:color="auto"/>
        <w:right w:val="none" w:sz="0" w:space="0" w:color="auto"/>
      </w:divBdr>
    </w:div>
    <w:div w:id="213340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chardson@tgrv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0C04-882C-419A-87D5-79307A49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8529</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Low</dc:creator>
  <cp:keywords/>
  <dc:description/>
  <cp:lastModifiedBy>Bob Nasdor</cp:lastModifiedBy>
  <cp:revision>2</cp:revision>
  <dcterms:created xsi:type="dcterms:W3CDTF">2019-01-22T12:45:00Z</dcterms:created>
  <dcterms:modified xsi:type="dcterms:W3CDTF">2019-01-22T12:45:00Z</dcterms:modified>
</cp:coreProperties>
</file>